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Registration and Certification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MIET-181</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This policy ensures learners are registered and certificated accurately and within the deadlines set by the relevant awarding organisation (AO) or EPAO. MI will not apply a universal six-week registration rule where the external organisation requires a different timescale.</w:t>
      </w:r>
    </w:p>
    <w:p>
      <w:pPr>
        <w:pStyle w:val="Heading1"/>
      </w:pPr>
      <w:r>
        <w:rPr>
          <w:rFonts w:ascii="Arial" w:hAnsi="Arial"/>
        </w:rPr>
        <w:t>Registration</w:t>
      </w:r>
    </w:p>
    <w:p>
      <w:pPr>
        <w:pStyle w:val="ListBullet"/>
      </w:pPr>
      <w:r>
        <w:rPr>
          <w:rFonts w:ascii="Arial" w:hAnsi="Arial"/>
        </w:rPr>
        <w:t>Compliance/administration confirms the learner’s identity, programme, start date and required qualification or assessment components in Bud.</w:t>
      </w:r>
    </w:p>
    <w:p>
      <w:pPr>
        <w:pStyle w:val="ListBullet"/>
      </w:pPr>
      <w:r>
        <w:rPr>
          <w:rFonts w:ascii="Arial" w:hAnsi="Arial"/>
        </w:rPr>
        <w:t>The responsible quality/administration colleague checks the exact qualification/standard, level, pathway, AO/EPAO and learner details before registration.</w:t>
      </w:r>
    </w:p>
    <w:p>
      <w:pPr>
        <w:pStyle w:val="ListBullet"/>
      </w:pPr>
      <w:r>
        <w:rPr>
          <w:rFonts w:ascii="Arial" w:hAnsi="Arial"/>
        </w:rPr>
        <w:t>Registration is completed within the AO/EPAO deadline and evidence of confirmation is retained.</w:t>
      </w:r>
    </w:p>
    <w:p>
      <w:pPr>
        <w:pStyle w:val="ListBullet"/>
      </w:pPr>
      <w:r>
        <w:rPr>
          <w:rFonts w:ascii="Arial" w:hAnsi="Arial"/>
        </w:rPr>
        <w:t>Late or incorrect registrations are escalated immediately and corrected in line with the external organisation’s process.</w:t>
      </w:r>
    </w:p>
    <w:p>
      <w:pPr>
        <w:pStyle w:val="ListBullet"/>
      </w:pPr>
      <w:r>
        <w:rPr>
          <w:rFonts w:ascii="Arial" w:hAnsi="Arial"/>
        </w:rPr>
        <w:t>Assessment must not take place where registration is a prerequisite and has not been completed.</w:t>
      </w:r>
    </w:p>
    <w:p>
      <w:pPr>
        <w:pStyle w:val="Heading1"/>
      </w:pPr>
      <w:r>
        <w:rPr>
          <w:rFonts w:ascii="Arial" w:hAnsi="Arial"/>
        </w:rPr>
        <w:t>Certification</w:t>
      </w:r>
    </w:p>
    <w:p>
      <w:pPr>
        <w:pStyle w:val="ListBullet"/>
      </w:pPr>
      <w:r>
        <w:rPr>
          <w:rFonts w:ascii="Arial" w:hAnsi="Arial"/>
        </w:rPr>
        <w:t>Assessors confirm completion and achievement against the required criteria.</w:t>
      </w:r>
    </w:p>
    <w:p>
      <w:pPr>
        <w:pStyle w:val="ListBullet"/>
      </w:pPr>
      <w:r>
        <w:rPr>
          <w:rFonts w:ascii="Arial" w:hAnsi="Arial"/>
        </w:rPr>
        <w:t>IQA activity is completed in accordance with the risk-based sampling strategy and any AO requirements; MI will not require 100% IQA sampling for every learner unless risk or the AO specifically requires it.</w:t>
      </w:r>
    </w:p>
    <w:p>
      <w:pPr>
        <w:pStyle w:val="ListBullet"/>
      </w:pPr>
      <w:r>
        <w:rPr>
          <w:rFonts w:ascii="Arial" w:hAnsi="Arial"/>
        </w:rPr>
        <w:t>The certification claim is checked for learner identity, achievement, rules of combination and any required external quality-assurance release.</w:t>
      </w:r>
    </w:p>
    <w:p>
      <w:pPr>
        <w:pStyle w:val="ListBullet"/>
      </w:pPr>
      <w:r>
        <w:rPr>
          <w:rFonts w:ascii="Arial" w:hAnsi="Arial"/>
        </w:rPr>
        <w:t>Certificates or secure digital credentials are checked on receipt and issued to the learner through an auditable method. Errors are reported promptly to the AO/EPAO.</w:t>
      </w:r>
    </w:p>
    <w:p>
      <w:pPr>
        <w:pStyle w:val="Heading1"/>
      </w:pPr>
      <w:r>
        <w:rPr>
          <w:rFonts w:ascii="Arial" w:hAnsi="Arial"/>
        </w:rPr>
        <w:t>Records</w:t>
      </w:r>
    </w:p>
    <w:p>
      <w:r>
        <w:rPr>
          <w:rFonts w:ascii="Arial" w:hAnsi="Arial"/>
        </w:rPr>
        <w:t>Registration, assessment, IQA, claim, certificate and correction records will be retained securely for the period required by the AO/EPAO, funding rules, contract and MI retention schedule.</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Corrected document reference and removed blanket six-week/100% sampling rules in favour of AO/EPAO deadlines and risk-based IQA.</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