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Arial" w:hAnsi="Arial"/>
        </w:rPr>
        <w:t>Learner and Apprentice Recruitment Policy</w:t>
      </w:r>
    </w:p>
    <w:tbl>
      <w:tblPr>
        <w:tblStyle w:val="TableGrid"/>
        <w:tblW w:type="auto" w:w="0"/>
        <w:jc w:val="center"/>
        <w:tblLook w:firstColumn="1" w:firstRow="1" w:lastColumn="0" w:lastRow="0" w:noHBand="0" w:noVBand="1" w:val="04A0"/>
      </w:tblPr>
      <w:tblGrid>
        <w:gridCol w:w="5112"/>
        <w:gridCol w:w="5112"/>
      </w:tblGrid>
      <w:tr>
        <w:trPr>
          <w:tblHeader w:val="true"/>
        </w:trPr>
        <w:tc>
          <w:tcPr>
            <w:tcW w:type="dxa" w:w="5112"/>
            <w:shd w:fill="E7E6E6"/>
          </w:tcPr>
          <w:p>
            <w:r/>
            <w:r>
              <w:rPr>
                <w:rFonts w:ascii="Arial" w:hAnsi="Arial"/>
                <w:b/>
                <w:sz w:val="18"/>
              </w:rPr>
              <w:t>Document reference</w:t>
            </w:r>
          </w:p>
        </w:tc>
        <w:tc>
          <w:tcPr>
            <w:tcW w:type="dxa" w:w="5112"/>
          </w:tcPr>
          <w:p>
            <w:r/>
            <w:r>
              <w:rPr>
                <w:rFonts w:ascii="Arial" w:hAnsi="Arial"/>
                <w:b w:val="0"/>
                <w:sz w:val="18"/>
              </w:rPr>
              <w:t>MIET-180</w:t>
            </w:r>
          </w:p>
        </w:tc>
      </w:tr>
      <w:tr>
        <w:tc>
          <w:tcPr>
            <w:tcW w:type="dxa" w:w="5112"/>
            <w:shd w:fill="E7E6E6"/>
          </w:tcPr>
          <w:p>
            <w:r/>
            <w:r>
              <w:rPr>
                <w:rFonts w:ascii="Arial" w:hAnsi="Arial"/>
                <w:b/>
                <w:sz w:val="18"/>
              </w:rPr>
              <w:t>Version</w:t>
            </w:r>
          </w:p>
        </w:tc>
        <w:tc>
          <w:tcPr>
            <w:tcW w:type="dxa" w:w="5112"/>
          </w:tcPr>
          <w:p>
            <w:r/>
            <w:r>
              <w:rPr>
                <w:rFonts w:ascii="Arial" w:hAnsi="Arial"/>
                <w:b w:val="0"/>
                <w:sz w:val="18"/>
              </w:rPr>
              <w:t>2026 update</w:t>
            </w:r>
          </w:p>
        </w:tc>
      </w:tr>
      <w:tr>
        <w:tc>
          <w:tcPr>
            <w:tcW w:type="dxa" w:w="5112"/>
            <w:shd w:fill="E7E6E6"/>
          </w:tcPr>
          <w:p>
            <w:r/>
            <w:r>
              <w:rPr>
                <w:rFonts w:ascii="Arial" w:hAnsi="Arial"/>
                <w:b/>
                <w:sz w:val="18"/>
              </w:rPr>
              <w:t>Effective date</w:t>
            </w:r>
          </w:p>
        </w:tc>
        <w:tc>
          <w:tcPr>
            <w:tcW w:type="dxa" w:w="5112"/>
          </w:tcPr>
          <w:p>
            <w:r/>
            <w:r>
              <w:rPr>
                <w:rFonts w:ascii="Arial" w:hAnsi="Arial"/>
                <w:b w:val="0"/>
                <w:sz w:val="18"/>
              </w:rPr>
              <w:t>04/09/2026</w:t>
            </w:r>
          </w:p>
        </w:tc>
      </w:tr>
      <w:tr>
        <w:tc>
          <w:tcPr>
            <w:tcW w:type="dxa" w:w="5112"/>
            <w:shd w:fill="E7E6E6"/>
          </w:tcPr>
          <w:p>
            <w:r/>
            <w:r>
              <w:rPr>
                <w:rFonts w:ascii="Arial" w:hAnsi="Arial"/>
                <w:b/>
                <w:sz w:val="18"/>
              </w:rPr>
              <w:t>Review date</w:t>
            </w:r>
          </w:p>
        </w:tc>
        <w:tc>
          <w:tcPr>
            <w:tcW w:type="dxa" w:w="5112"/>
          </w:tcPr>
          <w:p>
            <w:r/>
            <w:r>
              <w:rPr>
                <w:rFonts w:ascii="Arial" w:hAnsi="Arial"/>
                <w:b w:val="0"/>
                <w:sz w:val="18"/>
              </w:rPr>
              <w:t>September 2027</w:t>
            </w:r>
          </w:p>
        </w:tc>
      </w:tr>
      <w:tr>
        <w:tc>
          <w:tcPr>
            <w:tcW w:type="dxa" w:w="5112"/>
            <w:shd w:fill="E7E6E6"/>
          </w:tcPr>
          <w:p>
            <w:r/>
            <w:r>
              <w:rPr>
                <w:rFonts w:ascii="Arial" w:hAnsi="Arial"/>
                <w:b/>
                <w:sz w:val="18"/>
              </w:rPr>
              <w:t>Owner</w:t>
            </w:r>
          </w:p>
        </w:tc>
        <w:tc>
          <w:tcPr>
            <w:tcW w:type="dxa" w:w="5112"/>
          </w:tcPr>
          <w:p>
            <w:r/>
            <w:r>
              <w:rPr>
                <w:rFonts w:ascii="Arial" w:hAnsi="Arial"/>
                <w:b w:val="0"/>
                <w:sz w:val="18"/>
              </w:rPr>
              <w:t>Operations Manager</w:t>
            </w:r>
          </w:p>
        </w:tc>
      </w:tr>
    </w:tbl>
    <w:p/>
    <w:p>
      <w:pPr>
        <w:pStyle w:val="Heading1"/>
      </w:pPr>
      <w:r>
        <w:rPr>
          <w:rFonts w:ascii="Arial" w:hAnsi="Arial"/>
        </w:rPr>
        <w:t>Purpose</w:t>
      </w:r>
    </w:p>
    <w:p>
      <w:r>
        <w:rPr>
          <w:rFonts w:ascii="Arial" w:hAnsi="Arial"/>
        </w:rPr>
        <w:t>MI recruits learners and apprentices fairly, ethically and transparently. Marketing and recruitment will accurately describe the programme, apprenticeship status, employer role, expected commitment, assessment arrangements, progression opportunities and any eligibility conditions.</w:t>
      </w:r>
    </w:p>
    <w:p>
      <w:pPr>
        <w:pStyle w:val="Heading1"/>
      </w:pPr>
      <w:r>
        <w:rPr>
          <w:rFonts w:ascii="Arial" w:hAnsi="Arial"/>
        </w:rPr>
        <w:t>Recruitment principles</w:t>
      </w:r>
    </w:p>
    <w:p>
      <w:pPr>
        <w:pStyle w:val="ListBullet"/>
      </w:pPr>
      <w:r>
        <w:rPr>
          <w:rFonts w:ascii="Arial" w:hAnsi="Arial"/>
        </w:rPr>
        <w:t>No applicant will be enrolled solely to meet volume or funding targets where the programme is not suitable.</w:t>
      </w:r>
    </w:p>
    <w:p>
      <w:pPr>
        <w:pStyle w:val="ListBullet"/>
      </w:pPr>
      <w:r>
        <w:rPr>
          <w:rFonts w:ascii="Arial" w:hAnsi="Arial"/>
        </w:rPr>
        <w:t>Apprenticeship applicants must have an appropriate employment opportunity and sufficient scope in their job to develop the occupational competence required by the standard.</w:t>
      </w:r>
    </w:p>
    <w:p>
      <w:pPr>
        <w:pStyle w:val="ListBullet"/>
      </w:pPr>
      <w:r>
        <w:rPr>
          <w:rFonts w:ascii="Arial" w:hAnsi="Arial"/>
        </w:rPr>
        <w:t>Information, advice and guidance will be impartial enough to support an informed choice, including signposting where MI does not offer the most suitable route.</w:t>
      </w:r>
    </w:p>
    <w:p>
      <w:pPr>
        <w:pStyle w:val="ListBullet"/>
      </w:pPr>
      <w:r>
        <w:rPr>
          <w:rFonts w:ascii="Arial" w:hAnsi="Arial"/>
        </w:rPr>
        <w:t>Entry requirements will come from the current apprenticeship standard, assessment plan, qualification specification or employer role requirements rather than a generic GCSE threshold.</w:t>
      </w:r>
    </w:p>
    <w:p>
      <w:pPr>
        <w:pStyle w:val="ListBullet"/>
      </w:pPr>
      <w:r>
        <w:rPr>
          <w:rFonts w:ascii="Arial" w:hAnsi="Arial"/>
        </w:rPr>
        <w:t>Recruitment and marketing must comply with equality, safeguarding, data-protection and consumer-protection requirements and must not make misleading claims about funding, salaries, jobs or guaranteed achievement.</w:t>
      </w:r>
    </w:p>
    <w:p>
      <w:pPr>
        <w:pStyle w:val="Heading1"/>
      </w:pPr>
      <w:r>
        <w:rPr>
          <w:rFonts w:ascii="Arial" w:hAnsi="Arial"/>
        </w:rPr>
        <w:t>Pre-start checks</w:t>
      </w:r>
    </w:p>
    <w:p>
      <w:r>
        <w:rPr>
          <w:rFonts w:ascii="Arial" w:hAnsi="Arial"/>
        </w:rPr>
        <w:t>MI will complete initial assessment, prior-learning review, English and maths assessment as required, learning-support screening, funding eligibility checks and employer confirmation before final enrolment. Any reasonable adjustments required for the recruitment process will be considered.</w:t>
      </w:r>
    </w:p>
    <w:p>
      <w:pPr>
        <w:pStyle w:val="Heading1"/>
      </w:pPr>
      <w:r>
        <w:rPr>
          <w:rFonts w:ascii="Arial" w:hAnsi="Arial"/>
        </w:rPr>
        <w:t>Monitoring</w:t>
      </w:r>
    </w:p>
    <w:p>
      <w:r>
        <w:rPr>
          <w:rFonts w:ascii="Arial" w:hAnsi="Arial"/>
        </w:rPr>
        <w:t>Management will review conversion, withdrawal, early-leaver, equality and learner/employer feedback data to identify whether recruitment practices are contributing to poor retention or unsuitable starts.</w:t>
      </w:r>
    </w:p>
    <w:p>
      <w:pPr>
        <w:pStyle w:val="Heading1"/>
      </w:pPr>
      <w:r>
        <w:rPr>
          <w:rFonts w:ascii="Arial" w:hAnsi="Arial"/>
        </w:rPr>
        <w:t>Monitoring and review</w:t>
      </w:r>
    </w:p>
    <w:p>
      <w:r>
        <w:rPr>
          <w:rFonts w:ascii="Arial" w:hAnsi="Arial"/>
        </w:rPr>
        <w:t>The policy owner will monitor implementation through the quality cycle, management information, audit activity, learner and employer feedback, complaints, incidents and awarding organisation or funding assurance activity. This document will be reviewed at least annually and earlier where legislation, funding rules, statutory guidance, awarding organisation requirements or organisational arrangements change.</w:t>
      </w:r>
    </w:p>
    <w:p>
      <w:pPr>
        <w:pStyle w:val="Heading1"/>
      </w:pPr>
      <w:r>
        <w:rPr>
          <w:rFonts w:ascii="Arial" w:hAnsi="Arial"/>
        </w:rPr>
        <w:t>Version history</w:t>
      </w:r>
    </w:p>
    <w:tbl>
      <w:tblPr>
        <w:tblStyle w:val="TableGrid"/>
        <w:tblW w:type="auto" w:w="0"/>
        <w:jc w:val="center"/>
        <w:tblLook w:firstColumn="1" w:firstRow="1" w:lastColumn="0" w:lastRow="0" w:noHBand="0" w:noVBand="1" w:val="04A0"/>
      </w:tblPr>
      <w:tblGrid>
        <w:gridCol w:w="3408"/>
        <w:gridCol w:w="3408"/>
        <w:gridCol w:w="3408"/>
      </w:tblGrid>
      <w:tr>
        <w:trPr>
          <w:tblHeader w:val="true"/>
        </w:trPr>
        <w:tc>
          <w:tcPr>
            <w:tcW w:type="dxa" w:w="3408"/>
            <w:shd w:fill="D9EAD3"/>
          </w:tcPr>
          <w:p>
            <w:r/>
            <w:r>
              <w:rPr>
                <w:rFonts w:ascii="Arial" w:hAnsi="Arial"/>
                <w:b/>
                <w:sz w:val="18"/>
              </w:rPr>
              <w:t>Version</w:t>
            </w:r>
          </w:p>
        </w:tc>
        <w:tc>
          <w:tcPr>
            <w:tcW w:type="dxa" w:w="3408"/>
            <w:shd w:fill="D9EAD3"/>
          </w:tcPr>
          <w:p>
            <w:r/>
            <w:r>
              <w:rPr>
                <w:rFonts w:ascii="Arial" w:hAnsi="Arial"/>
                <w:b/>
                <w:sz w:val="18"/>
              </w:rPr>
              <w:t>Date</w:t>
            </w:r>
          </w:p>
        </w:tc>
        <w:tc>
          <w:tcPr>
            <w:tcW w:type="dxa" w:w="3408"/>
            <w:shd w:fill="D9EAD3"/>
          </w:tcPr>
          <w:p>
            <w:r/>
            <w:r>
              <w:rPr>
                <w:rFonts w:ascii="Arial" w:hAnsi="Arial"/>
                <w:b/>
                <w:sz w:val="18"/>
              </w:rPr>
              <w:t>Change summary</w:t>
            </w:r>
          </w:p>
        </w:tc>
      </w:tr>
      <w:tr>
        <w:tc>
          <w:tcPr>
            <w:tcW w:type="dxa" w:w="3408"/>
          </w:tcPr>
          <w:p>
            <w:r/>
            <w:r>
              <w:rPr>
                <w:rFonts w:ascii="Arial" w:hAnsi="Arial"/>
                <w:b w:val="0"/>
                <w:sz w:val="18"/>
              </w:rPr>
              <w:t>2026 update</w:t>
            </w:r>
          </w:p>
        </w:tc>
        <w:tc>
          <w:tcPr>
            <w:tcW w:type="dxa" w:w="3408"/>
          </w:tcPr>
          <w:p>
            <w:r/>
            <w:r>
              <w:rPr>
                <w:rFonts w:ascii="Arial" w:hAnsi="Arial"/>
                <w:b w:val="0"/>
                <w:sz w:val="18"/>
              </w:rPr>
              <w:t>04/09/2026</w:t>
            </w:r>
          </w:p>
        </w:tc>
        <w:tc>
          <w:tcPr>
            <w:tcW w:type="dxa" w:w="3408"/>
          </w:tcPr>
          <w:p>
            <w:r/>
            <w:r>
              <w:rPr>
                <w:rFonts w:ascii="Arial" w:hAnsi="Arial"/>
                <w:b w:val="0"/>
                <w:sz w:val="18"/>
              </w:rPr>
              <w:t>Rewritten from a BTEC sports-specific policy to an apprenticeship-focused recruitment policy with ethical recruitment and suitability controls.</w:t>
            </w:r>
          </w:p>
        </w:tc>
      </w:tr>
    </w:tbl>
    <w:sectPr w:rsidR="00FC693F" w:rsidRPr="0006063C" w:rsidSect="00034616">
      <w:footerReference w:type="default" r:id="rId9"/>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MI Education &amp; Training Ltd | Controlled document | Review due September 2027</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4F81BD" w:themeColor="accent1"/>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