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rPr>
          <w:rFonts w:ascii="Arial" w:hAnsi="Arial"/>
        </w:rPr>
        <w:t>Controlled and Secure Assessment Policy</w:t>
      </w:r>
    </w:p>
    <w:tbl>
      <w:tblPr>
        <w:tblStyle w:val="TableGrid"/>
        <w:tblW w:type="auto" w:w="0"/>
        <w:jc w:val="center"/>
        <w:tblLook w:firstColumn="1" w:firstRow="1" w:lastColumn="0" w:lastRow="0" w:noHBand="0" w:noVBand="1" w:val="04A0"/>
      </w:tblPr>
      <w:tblGrid>
        <w:gridCol w:w="5112"/>
        <w:gridCol w:w="5112"/>
      </w:tblGrid>
      <w:tr>
        <w:trPr>
          <w:tblHeader w:val="true"/>
        </w:trPr>
        <w:tc>
          <w:tcPr>
            <w:tcW w:type="dxa" w:w="5112"/>
            <w:shd w:fill="E7E6E6"/>
          </w:tcPr>
          <w:p>
            <w:r/>
            <w:r>
              <w:rPr>
                <w:rFonts w:ascii="Arial" w:hAnsi="Arial"/>
                <w:b/>
                <w:sz w:val="18"/>
              </w:rPr>
              <w:t>Document reference</w:t>
            </w:r>
          </w:p>
        </w:tc>
        <w:tc>
          <w:tcPr>
            <w:tcW w:type="dxa" w:w="5112"/>
          </w:tcPr>
          <w:p>
            <w:r/>
            <w:r>
              <w:rPr>
                <w:rFonts w:ascii="Arial" w:hAnsi="Arial"/>
                <w:b w:val="0"/>
                <w:sz w:val="18"/>
              </w:rPr>
              <w:t>MIET-179</w:t>
            </w:r>
          </w:p>
        </w:tc>
      </w:tr>
      <w:tr>
        <w:tc>
          <w:tcPr>
            <w:tcW w:type="dxa" w:w="5112"/>
            <w:shd w:fill="E7E6E6"/>
          </w:tcPr>
          <w:p>
            <w:r/>
            <w:r>
              <w:rPr>
                <w:rFonts w:ascii="Arial" w:hAnsi="Arial"/>
                <w:b/>
                <w:sz w:val="18"/>
              </w:rPr>
              <w:t>Version</w:t>
            </w:r>
          </w:p>
        </w:tc>
        <w:tc>
          <w:tcPr>
            <w:tcW w:type="dxa" w:w="5112"/>
          </w:tcPr>
          <w:p>
            <w:r/>
            <w:r>
              <w:rPr>
                <w:rFonts w:ascii="Arial" w:hAnsi="Arial"/>
                <w:b w:val="0"/>
                <w:sz w:val="18"/>
              </w:rPr>
              <w:t>2026 update</w:t>
            </w:r>
          </w:p>
        </w:tc>
      </w:tr>
      <w:tr>
        <w:tc>
          <w:tcPr>
            <w:tcW w:type="dxa" w:w="5112"/>
            <w:shd w:fill="E7E6E6"/>
          </w:tcPr>
          <w:p>
            <w:r/>
            <w:r>
              <w:rPr>
                <w:rFonts w:ascii="Arial" w:hAnsi="Arial"/>
                <w:b/>
                <w:sz w:val="18"/>
              </w:rPr>
              <w:t>Effective date</w:t>
            </w:r>
          </w:p>
        </w:tc>
        <w:tc>
          <w:tcPr>
            <w:tcW w:type="dxa" w:w="5112"/>
          </w:tcPr>
          <w:p>
            <w:r/>
            <w:r>
              <w:rPr>
                <w:rFonts w:ascii="Arial" w:hAnsi="Arial"/>
                <w:b w:val="0"/>
                <w:sz w:val="18"/>
              </w:rPr>
              <w:t>04/09/2026</w:t>
            </w:r>
          </w:p>
        </w:tc>
      </w:tr>
      <w:tr>
        <w:tc>
          <w:tcPr>
            <w:tcW w:type="dxa" w:w="5112"/>
            <w:shd w:fill="E7E6E6"/>
          </w:tcPr>
          <w:p>
            <w:r/>
            <w:r>
              <w:rPr>
                <w:rFonts w:ascii="Arial" w:hAnsi="Arial"/>
                <w:b/>
                <w:sz w:val="18"/>
              </w:rPr>
              <w:t>Review date</w:t>
            </w:r>
          </w:p>
        </w:tc>
        <w:tc>
          <w:tcPr>
            <w:tcW w:type="dxa" w:w="5112"/>
          </w:tcPr>
          <w:p>
            <w:r/>
            <w:r>
              <w:rPr>
                <w:rFonts w:ascii="Arial" w:hAnsi="Arial"/>
                <w:b w:val="0"/>
                <w:sz w:val="18"/>
              </w:rPr>
              <w:t>September 2027</w:t>
            </w:r>
          </w:p>
        </w:tc>
      </w:tr>
      <w:tr>
        <w:tc>
          <w:tcPr>
            <w:tcW w:type="dxa" w:w="5112"/>
            <w:shd w:fill="E7E6E6"/>
          </w:tcPr>
          <w:p>
            <w:r/>
            <w:r>
              <w:rPr>
                <w:rFonts w:ascii="Arial" w:hAnsi="Arial"/>
                <w:b/>
                <w:sz w:val="18"/>
              </w:rPr>
              <w:t>Owner</w:t>
            </w:r>
          </w:p>
        </w:tc>
        <w:tc>
          <w:tcPr>
            <w:tcW w:type="dxa" w:w="5112"/>
          </w:tcPr>
          <w:p>
            <w:r/>
            <w:r>
              <w:rPr>
                <w:rFonts w:ascii="Arial" w:hAnsi="Arial"/>
                <w:b w:val="0"/>
                <w:sz w:val="18"/>
              </w:rPr>
              <w:t>Head of Quality</w:t>
            </w:r>
          </w:p>
        </w:tc>
      </w:tr>
    </w:tbl>
    <w:p/>
    <w:p>
      <w:pPr>
        <w:pStyle w:val="Heading1"/>
      </w:pPr>
      <w:r>
        <w:rPr>
          <w:rFonts w:ascii="Arial" w:hAnsi="Arial"/>
        </w:rPr>
        <w:t>Purpose</w:t>
      </w:r>
    </w:p>
    <w:p>
      <w:r>
        <w:rPr>
          <w:rFonts w:ascii="Arial" w:hAnsi="Arial"/>
        </w:rPr>
        <w:t>This policy ensures that controlled, supervised, invigilated and otherwise secure assessments are delivered in accordance with the current rules of the relevant awarding organisation or EPAO and that assessment material, learner identity and outcomes remain secure.</w:t>
      </w:r>
    </w:p>
    <w:p>
      <w:pPr>
        <w:pStyle w:val="Heading1"/>
      </w:pPr>
      <w:r>
        <w:rPr>
          <w:rFonts w:ascii="Arial" w:hAnsi="Arial"/>
        </w:rPr>
        <w:t>Before assessment</w:t>
      </w:r>
    </w:p>
    <w:p>
      <w:pPr>
        <w:pStyle w:val="ListBullet"/>
      </w:pPr>
      <w:r>
        <w:rPr>
          <w:rFonts w:ascii="Arial" w:hAnsi="Arial"/>
        </w:rPr>
        <w:t>Use the current assessment version and instructions and verify any required registrations.</w:t>
      </w:r>
    </w:p>
    <w:p>
      <w:pPr>
        <w:pStyle w:val="ListBullet"/>
      </w:pPr>
      <w:r>
        <w:rPr>
          <w:rFonts w:ascii="Arial" w:hAnsi="Arial"/>
        </w:rPr>
        <w:t>Brief learners on permitted materials, AI use, communication, timing, breaks and malpractice rules.</w:t>
      </w:r>
    </w:p>
    <w:p>
      <w:pPr>
        <w:pStyle w:val="ListBullet"/>
      </w:pPr>
      <w:r>
        <w:rPr>
          <w:rFonts w:ascii="Arial" w:hAnsi="Arial"/>
        </w:rPr>
        <w:t>Confirm approved access arrangements and ensure they do not compromise the assessment requirements.</w:t>
      </w:r>
    </w:p>
    <w:p>
      <w:pPr>
        <w:pStyle w:val="ListBullet"/>
      </w:pPr>
      <w:r>
        <w:rPr>
          <w:rFonts w:ascii="Arial" w:hAnsi="Arial"/>
        </w:rPr>
        <w:t>Secure confidential assessment materials and restrict access to authorised staff.</w:t>
      </w:r>
    </w:p>
    <w:p>
      <w:pPr>
        <w:pStyle w:val="ListBullet"/>
      </w:pPr>
      <w:r>
        <w:rPr>
          <w:rFonts w:ascii="Arial" w:hAnsi="Arial"/>
        </w:rPr>
        <w:t>Check the room, remote-assessment controls and technology meet the relevant assessment conditions.</w:t>
      </w:r>
    </w:p>
    <w:p>
      <w:pPr>
        <w:pStyle w:val="Heading1"/>
      </w:pPr>
      <w:r>
        <w:rPr>
          <w:rFonts w:ascii="Arial" w:hAnsi="Arial"/>
        </w:rPr>
        <w:t>During and after assessment</w:t>
      </w:r>
    </w:p>
    <w:p>
      <w:pPr>
        <w:pStyle w:val="ListBullet"/>
      </w:pPr>
      <w:r>
        <w:rPr>
          <w:rFonts w:ascii="Arial" w:hAnsi="Arial"/>
        </w:rPr>
        <w:t>Verify learner identity and maintain required supervision/invigilation.</w:t>
      </w:r>
    </w:p>
    <w:p>
      <w:pPr>
        <w:pStyle w:val="ListBullet"/>
      </w:pPr>
      <w:r>
        <w:rPr>
          <w:rFonts w:ascii="Arial" w:hAnsi="Arial"/>
        </w:rPr>
        <w:t>Record attendance, start/finish times and any incident or deviation.</w:t>
      </w:r>
    </w:p>
    <w:p>
      <w:pPr>
        <w:pStyle w:val="ListBullet"/>
      </w:pPr>
      <w:r>
        <w:rPr>
          <w:rFonts w:ascii="Arial" w:hAnsi="Arial"/>
        </w:rPr>
        <w:t>Do not provide unauthorised assistance. Suspected malpractice must be preserved and reported.</w:t>
      </w:r>
    </w:p>
    <w:p>
      <w:pPr>
        <w:pStyle w:val="ListBullet"/>
      </w:pPr>
      <w:r>
        <w:rPr>
          <w:rFonts w:ascii="Arial" w:hAnsi="Arial"/>
        </w:rPr>
        <w:t>Securely upload, store or dispatch completed evidence and maintain the required chain of custody.</w:t>
      </w:r>
    </w:p>
    <w:p>
      <w:pPr>
        <w:pStyle w:val="ListBullet"/>
      </w:pPr>
      <w:r>
        <w:rPr>
          <w:rFonts w:ascii="Arial" w:hAnsi="Arial"/>
        </w:rPr>
        <w:t>Retain assessment, IQA and incident records for the period required by the AO/EPAO, funding rules and MI retention schedule.</w:t>
      </w:r>
    </w:p>
    <w:p>
      <w:pPr>
        <w:pStyle w:val="Heading1"/>
      </w:pPr>
      <w:r>
        <w:rPr>
          <w:rFonts w:ascii="Arial" w:hAnsi="Arial"/>
        </w:rPr>
        <w:t>AI</w:t>
      </w:r>
    </w:p>
    <w:p>
      <w:r>
        <w:rPr>
          <w:rFonts w:ascii="Arial" w:hAnsi="Arial"/>
        </w:rPr>
        <w:t>Where AI is prohibited by the assessment conditions, its use is not permitted. Where AI is allowed, the learner must comply with the assessment instructions and authenticity requirements. Detection tools may inform an investigation but are not conclusive evidence on their own.</w:t>
      </w:r>
    </w:p>
    <w:p>
      <w:pPr>
        <w:pStyle w:val="Heading1"/>
      </w:pPr>
      <w:r>
        <w:rPr>
          <w:rFonts w:ascii="Arial" w:hAnsi="Arial"/>
        </w:rPr>
        <w:t>Monitoring and review</w:t>
      </w:r>
    </w:p>
    <w:p>
      <w:r>
        <w:rPr>
          <w:rFonts w:ascii="Arial" w:hAnsi="Arial"/>
        </w:rPr>
        <w:t>The policy owner will monitor implementation through the quality cycle, management information, audit activity, learner and employer feedback, complaints, incidents and awarding organisation or funding assurance activity. This document will be reviewed at least annually and earlier where legislation, funding rules, statutory guidance, awarding organisation requirements or organisational arrangements change.</w:t>
      </w:r>
    </w:p>
    <w:p>
      <w:pPr>
        <w:pStyle w:val="Heading1"/>
      </w:pPr>
      <w:r>
        <w:rPr>
          <w:rFonts w:ascii="Arial" w:hAnsi="Arial"/>
        </w:rPr>
        <w:t>Version history</w:t>
      </w:r>
    </w:p>
    <w:tbl>
      <w:tblPr>
        <w:tblStyle w:val="TableGrid"/>
        <w:tblW w:type="auto" w:w="0"/>
        <w:jc w:val="center"/>
        <w:tblLook w:firstColumn="1" w:firstRow="1" w:lastColumn="0" w:lastRow="0" w:noHBand="0" w:noVBand="1" w:val="04A0"/>
      </w:tblPr>
      <w:tblGrid>
        <w:gridCol w:w="3408"/>
        <w:gridCol w:w="3408"/>
        <w:gridCol w:w="3408"/>
      </w:tblGrid>
      <w:tr>
        <w:trPr>
          <w:tblHeader w:val="true"/>
        </w:trPr>
        <w:tc>
          <w:tcPr>
            <w:tcW w:type="dxa" w:w="3408"/>
            <w:shd w:fill="D9EAD3"/>
          </w:tcPr>
          <w:p>
            <w:r/>
            <w:r>
              <w:rPr>
                <w:rFonts w:ascii="Arial" w:hAnsi="Arial"/>
                <w:b/>
                <w:sz w:val="18"/>
              </w:rPr>
              <w:t>Version</w:t>
            </w:r>
          </w:p>
        </w:tc>
        <w:tc>
          <w:tcPr>
            <w:tcW w:type="dxa" w:w="3408"/>
            <w:shd w:fill="D9EAD3"/>
          </w:tcPr>
          <w:p>
            <w:r/>
            <w:r>
              <w:rPr>
                <w:rFonts w:ascii="Arial" w:hAnsi="Arial"/>
                <w:b/>
                <w:sz w:val="18"/>
              </w:rPr>
              <w:t>Date</w:t>
            </w:r>
          </w:p>
        </w:tc>
        <w:tc>
          <w:tcPr>
            <w:tcW w:type="dxa" w:w="3408"/>
            <w:shd w:fill="D9EAD3"/>
          </w:tcPr>
          <w:p>
            <w:r/>
            <w:r>
              <w:rPr>
                <w:rFonts w:ascii="Arial" w:hAnsi="Arial"/>
                <w:b/>
                <w:sz w:val="18"/>
              </w:rPr>
              <w:t>Change summary</w:t>
            </w:r>
          </w:p>
        </w:tc>
      </w:tr>
      <w:tr>
        <w:tc>
          <w:tcPr>
            <w:tcW w:type="dxa" w:w="3408"/>
          </w:tcPr>
          <w:p>
            <w:r/>
            <w:r>
              <w:rPr>
                <w:rFonts w:ascii="Arial" w:hAnsi="Arial"/>
                <w:b w:val="0"/>
                <w:sz w:val="18"/>
              </w:rPr>
              <w:t>2026 update</w:t>
            </w:r>
          </w:p>
        </w:tc>
        <w:tc>
          <w:tcPr>
            <w:tcW w:type="dxa" w:w="3408"/>
          </w:tcPr>
          <w:p>
            <w:r/>
            <w:r>
              <w:rPr>
                <w:rFonts w:ascii="Arial" w:hAnsi="Arial"/>
                <w:b w:val="0"/>
                <w:sz w:val="18"/>
              </w:rPr>
              <w:t>04/09/2026</w:t>
            </w:r>
          </w:p>
        </w:tc>
        <w:tc>
          <w:tcPr>
            <w:tcW w:type="dxa" w:w="3408"/>
          </w:tcPr>
          <w:p>
            <w:r/>
            <w:r>
              <w:rPr>
                <w:rFonts w:ascii="Arial" w:hAnsi="Arial"/>
                <w:b w:val="0"/>
                <w:sz w:val="18"/>
              </w:rPr>
              <w:t>Expanded for secure/remote assessment, identity, access arrangements, AI, incident logs and AO/EPAO-specific requirements.</w:t>
            </w:r>
          </w:p>
        </w:tc>
      </w:tr>
    </w:tbl>
    <w:sectPr w:rsidR="00FC693F" w:rsidRPr="0006063C" w:rsidSect="00034616">
      <w:footerReference w:type="default" r:id="rId9"/>
      <w:pgSz w:w="12240" w:h="15840"/>
      <w:pgMar w:top="936" w:right="1008" w:bottom="936"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MI Education &amp; Training Ltd | Controlled document | Review due September 2027</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b/>
      <w:bCs/>
      <w:color w:val="4F81BD" w:themeColor="accent1"/>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rial" w:hAnsi="Arial"/>
      <w:b/>
      <w:color w:val="17365D" w:themeColor="text2" w:themeShade="BF"/>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