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Admissions and Enrolment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MIET-178</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Operations Manager</w:t>
            </w:r>
          </w:p>
        </w:tc>
      </w:tr>
    </w:tbl>
    <w:p/>
    <w:p>
      <w:pPr>
        <w:pStyle w:val="Heading1"/>
      </w:pPr>
      <w:r>
        <w:rPr>
          <w:rFonts w:ascii="Arial" w:hAnsi="Arial"/>
        </w:rPr>
        <w:t>Purpose</w:t>
      </w:r>
    </w:p>
    <w:p>
      <w:r>
        <w:rPr>
          <w:rFonts w:ascii="Arial" w:hAnsi="Arial"/>
        </w:rPr>
        <w:t>MI operates a fair, transparent and inclusive admissions and enrolment process for apprenticeships and any separately approved qualifications. Admission does not guarantee eligibility for government funding; funding eligibility is checked separately against the rules applying to the learner’s start date.</w:t>
      </w:r>
    </w:p>
    <w:p>
      <w:pPr>
        <w:pStyle w:val="Heading1"/>
      </w:pPr>
      <w:r>
        <w:rPr>
          <w:rFonts w:ascii="Arial" w:hAnsi="Arial"/>
        </w:rPr>
        <w:t>Apprenticeship admissions</w:t>
      </w:r>
    </w:p>
    <w:p>
      <w:pPr>
        <w:pStyle w:val="ListBullet"/>
      </w:pPr>
      <w:r>
        <w:rPr>
          <w:rFonts w:ascii="Arial" w:hAnsi="Arial"/>
        </w:rPr>
        <w:t>Confirm the applicant is suitable for the occupational standard and has a genuine job with the opportunity to gain the required knowledge, skills and behaviours.</w:t>
      </w:r>
    </w:p>
    <w:p>
      <w:pPr>
        <w:pStyle w:val="ListBullet"/>
      </w:pPr>
      <w:r>
        <w:rPr>
          <w:rFonts w:ascii="Arial" w:hAnsi="Arial"/>
        </w:rPr>
        <w:t>Complete initial assessment, including prior learning and experience, English and maths position, learning-support needs and any reasonable adjustments.</w:t>
      </w:r>
    </w:p>
    <w:p>
      <w:pPr>
        <w:pStyle w:val="ListBullet"/>
      </w:pPr>
      <w:r>
        <w:rPr>
          <w:rFonts w:ascii="Arial" w:hAnsi="Arial"/>
        </w:rPr>
        <w:t>Confirm employer commitment, planned training, working arrangements and the parties’ responsibilities before start.</w:t>
      </w:r>
    </w:p>
    <w:p>
      <w:pPr>
        <w:pStyle w:val="ListBullet"/>
      </w:pPr>
      <w:r>
        <w:rPr>
          <w:rFonts w:ascii="Arial" w:hAnsi="Arial"/>
        </w:rPr>
        <w:t>Check eligibility and evidence against the apprenticeship funding rules applying to the start date.</w:t>
      </w:r>
    </w:p>
    <w:p>
      <w:pPr>
        <w:pStyle w:val="ListBullet"/>
      </w:pPr>
      <w:r>
        <w:rPr>
          <w:rFonts w:ascii="Arial" w:hAnsi="Arial"/>
        </w:rPr>
        <w:t>Agree and record the training plan and price, taking account of prior learning.</w:t>
      </w:r>
    </w:p>
    <w:p>
      <w:pPr>
        <w:pStyle w:val="ListBullet"/>
      </w:pPr>
      <w:r>
        <w:rPr>
          <w:rFonts w:ascii="Arial" w:hAnsi="Arial"/>
        </w:rPr>
        <w:t>Complete identity, contact, emergency and required data checks and provide induction, safeguarding/Prevent information, complaints/appeals information and key contacts.</w:t>
      </w:r>
    </w:p>
    <w:p>
      <w:pPr>
        <w:pStyle w:val="Heading1"/>
      </w:pPr>
      <w:r>
        <w:rPr>
          <w:rFonts w:ascii="Arial" w:hAnsi="Arial"/>
        </w:rPr>
        <w:t>Awarding organisation enrolment</w:t>
      </w:r>
    </w:p>
    <w:p>
      <w:r>
        <w:rPr>
          <w:rFonts w:ascii="Arial" w:hAnsi="Arial"/>
        </w:rPr>
        <w:t>Where the programme includes a regulated qualification, MI will also meet the current registration and entry requirements of the relevant awarding organisation. The qualification title and awarding organisation will be verified before registration; the policy will not assume that all programmes use NCFE.</w:t>
      </w:r>
    </w:p>
    <w:p>
      <w:pPr>
        <w:pStyle w:val="Heading1"/>
      </w:pPr>
      <w:r>
        <w:rPr>
          <w:rFonts w:ascii="Arial" w:hAnsi="Arial"/>
        </w:rPr>
        <w:t>Equality and data protection</w:t>
      </w:r>
    </w:p>
    <w:p>
      <w:r>
        <w:rPr>
          <w:rFonts w:ascii="Arial" w:hAnsi="Arial"/>
        </w:rPr>
        <w:t>Admissions decisions will comply with the Equality Act 2010 and reasonable adjustments will be considered. Personal information will be processed in accordance with MI’s privacy and data-protection arrangements.</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Expanded from NCFE-only admissions to apprenticeship eligibility, initial assessment, prior learning, employer commitment and training-plan requirements.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