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Arial" w:hAnsi="Arial"/>
        </w:rPr>
        <w:t>Transfer of Credits, Recognition of Prior Learning, Exemptions and Withdrawal Policy</w:t>
      </w:r>
    </w:p>
    <w:tbl>
      <w:tblPr>
        <w:tblStyle w:val="TableGrid"/>
        <w:tblW w:type="auto" w:w="0"/>
        <w:jc w:val="center"/>
        <w:tblLook w:firstColumn="1" w:firstRow="1" w:lastColumn="0" w:lastRow="0" w:noHBand="0" w:noVBand="1" w:val="04A0"/>
      </w:tblPr>
      <w:tblGrid>
        <w:gridCol w:w="5112"/>
        <w:gridCol w:w="5112"/>
      </w:tblGrid>
      <w:tr>
        <w:trPr>
          <w:tblHeader w:val="true"/>
        </w:trPr>
        <w:tc>
          <w:tcPr>
            <w:tcW w:type="dxa" w:w="5112"/>
            <w:shd w:fill="E7E6E6"/>
          </w:tcPr>
          <w:p>
            <w:r/>
            <w:r>
              <w:rPr>
                <w:rFonts w:ascii="Arial" w:hAnsi="Arial"/>
                <w:b/>
                <w:sz w:val="18"/>
              </w:rPr>
              <w:t>Document reference</w:t>
            </w:r>
          </w:p>
        </w:tc>
        <w:tc>
          <w:tcPr>
            <w:tcW w:type="dxa" w:w="5112"/>
          </w:tcPr>
          <w:p>
            <w:r/>
            <w:r>
              <w:rPr>
                <w:rFonts w:ascii="Arial" w:hAnsi="Arial"/>
                <w:b w:val="0"/>
                <w:sz w:val="18"/>
              </w:rPr>
              <w:t>MIET-177</w:t>
            </w:r>
          </w:p>
        </w:tc>
      </w:tr>
      <w:tr>
        <w:tc>
          <w:tcPr>
            <w:tcW w:type="dxa" w:w="5112"/>
            <w:shd w:fill="E7E6E6"/>
          </w:tcPr>
          <w:p>
            <w:r/>
            <w:r>
              <w:rPr>
                <w:rFonts w:ascii="Arial" w:hAnsi="Arial"/>
                <w:b/>
                <w:sz w:val="18"/>
              </w:rPr>
              <w:t>Version</w:t>
            </w:r>
          </w:p>
        </w:tc>
        <w:tc>
          <w:tcPr>
            <w:tcW w:type="dxa" w:w="5112"/>
          </w:tcPr>
          <w:p>
            <w:r/>
            <w:r>
              <w:rPr>
                <w:rFonts w:ascii="Arial" w:hAnsi="Arial"/>
                <w:b w:val="0"/>
                <w:sz w:val="18"/>
              </w:rPr>
              <w:t>2026 update</w:t>
            </w:r>
          </w:p>
        </w:tc>
      </w:tr>
      <w:tr>
        <w:tc>
          <w:tcPr>
            <w:tcW w:type="dxa" w:w="5112"/>
            <w:shd w:fill="E7E6E6"/>
          </w:tcPr>
          <w:p>
            <w:r/>
            <w:r>
              <w:rPr>
                <w:rFonts w:ascii="Arial" w:hAnsi="Arial"/>
                <w:b/>
                <w:sz w:val="18"/>
              </w:rPr>
              <w:t>Effective date</w:t>
            </w:r>
          </w:p>
        </w:tc>
        <w:tc>
          <w:tcPr>
            <w:tcW w:type="dxa" w:w="5112"/>
          </w:tcPr>
          <w:p>
            <w:r/>
            <w:r>
              <w:rPr>
                <w:rFonts w:ascii="Arial" w:hAnsi="Arial"/>
                <w:b w:val="0"/>
                <w:sz w:val="18"/>
              </w:rPr>
              <w:t>04/09/2026</w:t>
            </w:r>
          </w:p>
        </w:tc>
      </w:tr>
      <w:tr>
        <w:tc>
          <w:tcPr>
            <w:tcW w:type="dxa" w:w="5112"/>
            <w:shd w:fill="E7E6E6"/>
          </w:tcPr>
          <w:p>
            <w:r/>
            <w:r>
              <w:rPr>
                <w:rFonts w:ascii="Arial" w:hAnsi="Arial"/>
                <w:b/>
                <w:sz w:val="18"/>
              </w:rPr>
              <w:t>Review date</w:t>
            </w:r>
          </w:p>
        </w:tc>
        <w:tc>
          <w:tcPr>
            <w:tcW w:type="dxa" w:w="5112"/>
          </w:tcPr>
          <w:p>
            <w:r/>
            <w:r>
              <w:rPr>
                <w:rFonts w:ascii="Arial" w:hAnsi="Arial"/>
                <w:b w:val="0"/>
                <w:sz w:val="18"/>
              </w:rPr>
              <w:t>September 2027</w:t>
            </w:r>
          </w:p>
        </w:tc>
      </w:tr>
      <w:tr>
        <w:tc>
          <w:tcPr>
            <w:tcW w:type="dxa" w:w="5112"/>
            <w:shd w:fill="E7E6E6"/>
          </w:tcPr>
          <w:p>
            <w:r/>
            <w:r>
              <w:rPr>
                <w:rFonts w:ascii="Arial" w:hAnsi="Arial"/>
                <w:b/>
                <w:sz w:val="18"/>
              </w:rPr>
              <w:t>Owner</w:t>
            </w:r>
          </w:p>
        </w:tc>
        <w:tc>
          <w:tcPr>
            <w:tcW w:type="dxa" w:w="5112"/>
          </w:tcPr>
          <w:p>
            <w:r/>
            <w:r>
              <w:rPr>
                <w:rFonts w:ascii="Arial" w:hAnsi="Arial"/>
                <w:b w:val="0"/>
                <w:sz w:val="18"/>
              </w:rPr>
              <w:t>Head of Quality</w:t>
            </w:r>
          </w:p>
        </w:tc>
      </w:tr>
    </w:tbl>
    <w:p/>
    <w:p>
      <w:pPr>
        <w:pStyle w:val="Heading1"/>
      </w:pPr>
      <w:r>
        <w:rPr>
          <w:rFonts w:ascii="Arial" w:hAnsi="Arial"/>
        </w:rPr>
        <w:t>Purpose</w:t>
      </w:r>
    </w:p>
    <w:p>
      <w:r>
        <w:rPr>
          <w:rFonts w:ascii="Arial" w:hAnsi="Arial"/>
        </w:rPr>
        <w:t>This policy sets out how MI manages credit transfer, recognition of prior learning (RPL), exemptions and withdrawal from qualifications or apprenticeship components in line with the rules of the relevant awarding organisation and the apprenticeship funding rules.</w:t>
      </w:r>
    </w:p>
    <w:p>
      <w:pPr>
        <w:pStyle w:val="Heading1"/>
      </w:pPr>
      <w:r>
        <w:rPr>
          <w:rFonts w:ascii="Arial" w:hAnsi="Arial"/>
        </w:rPr>
        <w:t>Credit transfer, RPL and exemptions</w:t>
      </w:r>
    </w:p>
    <w:p>
      <w:r>
        <w:rPr>
          <w:rFonts w:ascii="Arial" w:hAnsi="Arial"/>
        </w:rPr>
        <w:t>Prior learning will be assessed before or at the start of the programme and again where new evidence becomes available. MI will verify that evidence is authentic, current, sufficient and relevant to the required learning outcomes. Decisions and the rationale will be recorded. Where prior learning reduces the training required for an apprenticeship, the price and training plan will be adjusted in accordance with the current funding rules. Exemptions or credit transfers will only be recorded where the awarding organisation permits them.</w:t>
      </w:r>
    </w:p>
    <w:p>
      <w:pPr>
        <w:pStyle w:val="Heading1"/>
      </w:pPr>
      <w:r>
        <w:rPr>
          <w:rFonts w:ascii="Arial" w:hAnsi="Arial"/>
        </w:rPr>
        <w:t>Withdrawal</w:t>
      </w:r>
    </w:p>
    <w:p>
      <w:r>
        <w:rPr>
          <w:rFonts w:ascii="Arial" w:hAnsi="Arial"/>
        </w:rPr>
        <w:t>A learner will only be withdrawn after reasonable attempts to understand the circumstances, offer appropriate support and confirm the effective last date in learning. The employer will be involved where appropriate. MI will update Bud, the ILR/apprenticeship records and AO/EPAO systems within the applicable timescales and retain evidence supporting the withdrawal reason and date.</w:t>
      </w:r>
    </w:p>
    <w:p>
      <w:pPr>
        <w:pStyle w:val="Heading1"/>
      </w:pPr>
      <w:r>
        <w:rPr>
          <w:rFonts w:ascii="Arial" w:hAnsi="Arial"/>
        </w:rPr>
        <w:t>Transfer</w:t>
      </w:r>
    </w:p>
    <w:p>
      <w:r>
        <w:rPr>
          <w:rFonts w:ascii="Arial" w:hAnsi="Arial"/>
        </w:rPr>
        <w:t>Where a learner changes provider, employer or programme, MI will provide accurate information and transferable evidence where lawful and appropriate, protect personal data, and avoid duplicate claims for learning already delivered.</w:t>
      </w:r>
    </w:p>
    <w:p>
      <w:pPr>
        <w:pStyle w:val="Heading1"/>
      </w:pPr>
      <w:r>
        <w:rPr>
          <w:rFonts w:ascii="Arial" w:hAnsi="Arial"/>
        </w:rPr>
        <w:t>Monitoring and review</w:t>
      </w:r>
    </w:p>
    <w:p>
      <w:r>
        <w:rPr>
          <w:rFonts w:ascii="Arial" w:hAnsi="Arial"/>
        </w:rPr>
        <w:t>The policy owner will monitor implementation through the quality cycle, management information, audit activity, learner and employer feedback, complaints, incidents and awarding organisation or funding assurance activity. This document will be reviewed at least annually and earlier where legislation, funding rules, statutory guidance, awarding organisation requirements or organisational arrangements change.</w:t>
      </w:r>
    </w:p>
    <w:p>
      <w:pPr>
        <w:pStyle w:val="Heading1"/>
      </w:pPr>
      <w:r>
        <w:rPr>
          <w:rFonts w:ascii="Arial" w:hAnsi="Arial"/>
        </w:rPr>
        <w:t>Version history</w:t>
      </w:r>
    </w:p>
    <w:tbl>
      <w:tblPr>
        <w:tblStyle w:val="TableGrid"/>
        <w:tblW w:type="auto" w:w="0"/>
        <w:jc w:val="center"/>
        <w:tblLook w:firstColumn="1" w:firstRow="1" w:lastColumn="0" w:lastRow="0" w:noHBand="0" w:noVBand="1" w:val="04A0"/>
      </w:tblPr>
      <w:tblGrid>
        <w:gridCol w:w="3408"/>
        <w:gridCol w:w="3408"/>
        <w:gridCol w:w="3408"/>
      </w:tblGrid>
      <w:tr>
        <w:trPr>
          <w:tblHeader w:val="true"/>
        </w:trPr>
        <w:tc>
          <w:tcPr>
            <w:tcW w:type="dxa" w:w="3408"/>
            <w:shd w:fill="D9EAD3"/>
          </w:tcPr>
          <w:p>
            <w:r/>
            <w:r>
              <w:rPr>
                <w:rFonts w:ascii="Arial" w:hAnsi="Arial"/>
                <w:b/>
                <w:sz w:val="18"/>
              </w:rPr>
              <w:t>Version</w:t>
            </w:r>
          </w:p>
        </w:tc>
        <w:tc>
          <w:tcPr>
            <w:tcW w:type="dxa" w:w="3408"/>
            <w:shd w:fill="D9EAD3"/>
          </w:tcPr>
          <w:p>
            <w:r/>
            <w:r>
              <w:rPr>
                <w:rFonts w:ascii="Arial" w:hAnsi="Arial"/>
                <w:b/>
                <w:sz w:val="18"/>
              </w:rPr>
              <w:t>Date</w:t>
            </w:r>
          </w:p>
        </w:tc>
        <w:tc>
          <w:tcPr>
            <w:tcW w:type="dxa" w:w="3408"/>
            <w:shd w:fill="D9EAD3"/>
          </w:tcPr>
          <w:p>
            <w:r/>
            <w:r>
              <w:rPr>
                <w:rFonts w:ascii="Arial" w:hAnsi="Arial"/>
                <w:b/>
                <w:sz w:val="18"/>
              </w:rPr>
              <w:t>Change summary</w:t>
            </w:r>
          </w:p>
        </w:tc>
      </w:tr>
      <w:tr>
        <w:tc>
          <w:tcPr>
            <w:tcW w:type="dxa" w:w="3408"/>
          </w:tcPr>
          <w:p>
            <w:r/>
            <w:r>
              <w:rPr>
                <w:rFonts w:ascii="Arial" w:hAnsi="Arial"/>
                <w:b w:val="0"/>
                <w:sz w:val="18"/>
              </w:rPr>
              <w:t>2026 update</w:t>
            </w:r>
          </w:p>
        </w:tc>
        <w:tc>
          <w:tcPr>
            <w:tcW w:type="dxa" w:w="3408"/>
          </w:tcPr>
          <w:p>
            <w:r/>
            <w:r>
              <w:rPr>
                <w:rFonts w:ascii="Arial" w:hAnsi="Arial"/>
                <w:b w:val="0"/>
                <w:sz w:val="18"/>
              </w:rPr>
              <w:t>04/09/2026</w:t>
            </w:r>
          </w:p>
        </w:tc>
        <w:tc>
          <w:tcPr>
            <w:tcW w:type="dxa" w:w="3408"/>
          </w:tcPr>
          <w:p>
            <w:r/>
            <w:r>
              <w:rPr>
                <w:rFonts w:ascii="Arial" w:hAnsi="Arial"/>
                <w:b w:val="0"/>
                <w:sz w:val="18"/>
              </w:rPr>
              <w:t>Corrected file content (the uploaded MIET-177 contained an admissions policy) and created the policy described by the filename.</w:t>
            </w:r>
          </w:p>
        </w:tc>
      </w:tr>
    </w:tbl>
    <w:sectPr w:rsidR="00FC693F" w:rsidRPr="0006063C" w:rsidSect="00034616">
      <w:footerReference w:type="default" r:id="rId9"/>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MI Education &amp; Training Ltd | Controlled document | Review due September 2027</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