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Withdrawal from Awarding Organisation or Qualification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MIET-176</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w:t>
      </w:r>
    </w:p>
    <w:p>
      <w:r>
        <w:rPr>
          <w:rFonts w:ascii="Arial" w:hAnsi="Arial"/>
        </w:rPr>
        <w:t>This policy protects learners if MI voluntarily withdraws from an awarding organisation (AO), end-point assessment organisation (EPAO), qualification or approval, or if an AO/EPAO withdraws or suspends MI’s approval.</w:t>
      </w:r>
    </w:p>
    <w:p>
      <w:pPr>
        <w:pStyle w:val="Heading1"/>
      </w:pPr>
      <w:r>
        <w:rPr>
          <w:rFonts w:ascii="Arial" w:hAnsi="Arial"/>
        </w:rPr>
        <w:t>Principles</w:t>
      </w:r>
    </w:p>
    <w:p>
      <w:pPr>
        <w:pStyle w:val="ListBullet"/>
      </w:pPr>
      <w:r>
        <w:rPr>
          <w:rFonts w:ascii="Arial" w:hAnsi="Arial"/>
        </w:rPr>
        <w:t>Learner interests, continuity, achievement and accurate records will be the priority.</w:t>
      </w:r>
    </w:p>
    <w:p>
      <w:pPr>
        <w:pStyle w:val="ListBullet"/>
      </w:pPr>
      <w:r>
        <w:rPr>
          <w:rFonts w:ascii="Arial" w:hAnsi="Arial"/>
        </w:rPr>
        <w:t>MI will comply with the AO/EPAO withdrawal, sanctions and teach-out requirements and will maintain open communication with affected learners, employers and relevant authorities.</w:t>
      </w:r>
    </w:p>
    <w:p>
      <w:pPr>
        <w:pStyle w:val="ListBullet"/>
      </w:pPr>
      <w:r>
        <w:rPr>
          <w:rFonts w:ascii="Arial" w:hAnsi="Arial"/>
        </w:rPr>
        <w:t>No new learners will be recruited or registered where approval no longer permits this.</w:t>
      </w:r>
    </w:p>
    <w:p>
      <w:pPr>
        <w:pStyle w:val="ListBullet"/>
      </w:pPr>
      <w:r>
        <w:rPr>
          <w:rFonts w:ascii="Arial" w:hAnsi="Arial"/>
        </w:rPr>
        <w:t>Certificates, assessment records, learner evidence and registration information will be protected and transferred securely where required.</w:t>
      </w:r>
    </w:p>
    <w:p>
      <w:pPr>
        <w:pStyle w:val="Heading1"/>
      </w:pPr>
      <w:r>
        <w:rPr>
          <w:rFonts w:ascii="Arial" w:hAnsi="Arial"/>
        </w:rPr>
        <w:t>Process</w:t>
      </w:r>
    </w:p>
    <w:p>
      <w:r>
        <w:rPr>
          <w:rFonts w:ascii="Arial" w:hAnsi="Arial"/>
        </w:rPr>
        <w:t>The Head of Quality will complete an impact assessment identifying affected learners, programme stage, assessment status, funding position, employer, alternative delivery/assessment options and communications. A written teach-out or transfer plan will be agreed with the AO/EPAO where possible. Where transfer is necessary, MI will work with the learner, employer, relevant AO/EPAO and government funding bodies to identify an appropriate receiving provider or assessment arrangement. MI will not state that government will automatically arrange a transfer.</w:t>
      </w:r>
    </w:p>
    <w:p>
      <w:pPr>
        <w:pStyle w:val="Heading1"/>
      </w:pPr>
      <w:r>
        <w:rPr>
          <w:rFonts w:ascii="Arial" w:hAnsi="Arial"/>
        </w:rPr>
        <w:t>Closure and records</w:t>
      </w:r>
    </w:p>
    <w:p>
      <w:r>
        <w:rPr>
          <w:rFonts w:ascii="Arial" w:hAnsi="Arial"/>
        </w:rPr>
        <w:t>MI will confirm final registrations, results and certificates, close or transfer access to systems, retain required records and record lessons learned in the QIP. Any financial or funding corrections will be managed through the appropriate process.</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Expanded to cover AO/EPAO withdrawal, teach-out, learner transfer, records, communications and funding corrections.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