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Reasonable Adjustment and Special Consideration Procedure</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MIET-165</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Requesting a reasonable adjustment</w:t>
      </w:r>
    </w:p>
    <w:p>
      <w:r>
        <w:rPr>
          <w:rFonts w:ascii="Arial" w:hAnsi="Arial"/>
        </w:rPr>
        <w:t>The learner, tutor/assessor or learning-support colleague should raise the need as early as possible. The request must identify the barrier, supporting evidence, the proposed adjustment and the assessment or learning activity affected. The Head of Quality or delegated competent person will check the relevant AO/EPAO rules before approval and will obtain external approval where required.</w:t>
      </w:r>
    </w:p>
    <w:p>
      <w:pPr>
        <w:pStyle w:val="Heading1"/>
      </w:pPr>
      <w:r>
        <w:rPr>
          <w:rFonts w:ascii="Arial" w:hAnsi="Arial"/>
        </w:rPr>
        <w:t>Decision</w:t>
      </w:r>
    </w:p>
    <w:p>
      <w:r>
        <w:rPr>
          <w:rFonts w:ascii="Arial" w:hAnsi="Arial"/>
        </w:rPr>
        <w:t>The decision will consider effectiveness, proportionality, the learner’s normal way of working, assessment validity, competence standards, security and any effect on other learners. The learner will be told the decision and any conditions. The adjustment will be recorded and communicated only to those who need to implement it.</w:t>
      </w:r>
    </w:p>
    <w:p>
      <w:pPr>
        <w:pStyle w:val="Heading1"/>
      </w:pPr>
      <w:r>
        <w:rPr>
          <w:rFonts w:ascii="Arial" w:hAnsi="Arial"/>
        </w:rPr>
        <w:t>Special consideration</w:t>
      </w:r>
    </w:p>
    <w:p>
      <w:r>
        <w:rPr>
          <w:rFonts w:ascii="Arial" w:hAnsi="Arial"/>
        </w:rPr>
        <w:t>Where illness, injury or another event outside the learner’s control materially affects an assessment, MI will collect evidence and submit the request to the AO/EPAO within its required timescale. MI will not promise a particular mark adjustment or outcome because the external organisation’s rules determine what consideration is available.</w:t>
      </w:r>
    </w:p>
    <w:p>
      <w:pPr>
        <w:pStyle w:val="Heading1"/>
      </w:pPr>
      <w:r>
        <w:rPr>
          <w:rFonts w:ascii="Arial" w:hAnsi="Arial"/>
        </w:rPr>
        <w:t>Invigilation and implementation</w:t>
      </w:r>
    </w:p>
    <w:p>
      <w:r>
        <w:rPr>
          <w:rFonts w:ascii="Arial" w:hAnsi="Arial"/>
        </w:rPr>
        <w:t>Invigilators and assessment staff will receive written instructions for approved arrangements. They must apply only the approved adjustment, protect assessment security and record any incident or deviation.</w:t>
      </w:r>
    </w:p>
    <w:p>
      <w:pPr>
        <w:pStyle w:val="Heading1"/>
      </w:pPr>
      <w:r>
        <w:rPr>
          <w:rFonts w:ascii="Arial" w:hAnsi="Arial"/>
        </w:rPr>
        <w:t>Records and appeals</w:t>
      </w:r>
    </w:p>
    <w:p>
      <w:r>
        <w:rPr>
          <w:rFonts w:ascii="Arial" w:hAnsi="Arial"/>
        </w:rPr>
        <w:t>MI will retain the request, evidence, decision, external approval where applicable, implementation record and review/appeal outcome. Learners may appeal an MI decision through the appeals procedure or use the AO/EPAO appeal route for an external decision.</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Simplified and aligned with AO/EPAO approval, Ofqual principles and evidence-based access arrangements.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