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Internal Quality Assurance Strategy</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MIET-163</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Head of Quality</w:t>
            </w:r>
          </w:p>
        </w:tc>
      </w:tr>
    </w:tbl>
    <w:p/>
    <w:p>
      <w:pPr>
        <w:pStyle w:val="Heading1"/>
      </w:pPr>
      <w:r>
        <w:rPr>
          <w:rFonts w:ascii="Arial" w:hAnsi="Arial"/>
        </w:rPr>
        <w:t>Purpose</w:t>
      </w:r>
    </w:p>
    <w:p>
      <w:r>
        <w:rPr>
          <w:rFonts w:ascii="Arial" w:hAnsi="Arial"/>
        </w:rPr>
        <w:t>The IQA strategy provides a risk-based, auditable framework to ensure assessment and apprenticeship delivery are valid, authentic, reliable, current, sufficient, inclusive and consistently applied. It supports continuous improvement, awarding-organisation compliance and readiness for external quality assurance and inspection.</w:t>
      </w:r>
    </w:p>
    <w:p>
      <w:pPr>
        <w:pStyle w:val="Heading1"/>
      </w:pPr>
      <w:r>
        <w:rPr>
          <w:rFonts w:ascii="Arial" w:hAnsi="Arial"/>
        </w:rPr>
        <w:t>Responsibilities</w:t>
      </w:r>
    </w:p>
    <w:p>
      <w:pPr>
        <w:pStyle w:val="ListBullet"/>
      </w:pPr>
      <w:r>
        <w:rPr>
          <w:rFonts w:ascii="Arial" w:hAnsi="Arial"/>
        </w:rPr>
        <w:t>The Head of Quality owns the IQA strategy, sampling plan, standardisation cycle, quality reporting and escalation of risk.</w:t>
      </w:r>
    </w:p>
    <w:p>
      <w:pPr>
        <w:pStyle w:val="ListBullet"/>
      </w:pPr>
      <w:r>
        <w:rPr>
          <w:rFonts w:ascii="Arial" w:hAnsi="Arial"/>
        </w:rPr>
        <w:t>IQAs sample assessment decisions and learner journeys, provide developmental feedback, verify actions and identify themes.</w:t>
      </w:r>
    </w:p>
    <w:p>
      <w:pPr>
        <w:pStyle w:val="ListBullet"/>
      </w:pPr>
      <w:r>
        <w:rPr>
          <w:rFonts w:ascii="Arial" w:hAnsi="Arial"/>
        </w:rPr>
        <w:t>Assessors/tutors remain responsible for accurate, timely assessment, feedback, evidence and completion of actions.</w:t>
      </w:r>
    </w:p>
    <w:p>
      <w:pPr>
        <w:pStyle w:val="ListBullet"/>
      </w:pPr>
      <w:r>
        <w:rPr>
          <w:rFonts w:ascii="Arial" w:hAnsi="Arial"/>
        </w:rPr>
        <w:t>Operations ensures quality actions are resourced and integrated with learner progress, funding compliance and employer engagement.</w:t>
      </w:r>
    </w:p>
    <w:p>
      <w:pPr>
        <w:pStyle w:val="Heading1"/>
      </w:pPr>
      <w:r>
        <w:rPr>
          <w:rFonts w:ascii="Arial" w:hAnsi="Arial"/>
        </w:rPr>
        <w:t>Risk-based sampling</w:t>
      </w:r>
    </w:p>
    <w:p>
      <w:r>
        <w:rPr>
          <w:rFonts w:ascii="Arial" w:hAnsi="Arial"/>
        </w:rPr>
        <w:t>The annual and rolling sampling plan will cover all assessors, standards/qualifications, sites, cohorts, assessment methods and key stages. Sampling intensity will increase for new or unqualified staff, new programmes, high-risk assessment methods, prior referrals, complaints, weak learner progress, late assessment, suspected malpractice or adverse EQA findings. Sampling must be sufficient to support a defensible judgement; a single fixed percentage is not used as a substitute for risk assessment.</w:t>
      </w:r>
    </w:p>
    <w:p>
      <w:pPr>
        <w:pStyle w:val="Heading1"/>
      </w:pPr>
      <w:r>
        <w:rPr>
          <w:rFonts w:ascii="Arial" w:hAnsi="Arial"/>
        </w:rPr>
        <w:t>Learner journey sampling</w:t>
      </w:r>
    </w:p>
    <w:p>
      <w:pPr>
        <w:pStyle w:val="ListBullet"/>
      </w:pPr>
      <w:r>
        <w:rPr>
          <w:rFonts w:ascii="Arial" w:hAnsi="Arial"/>
        </w:rPr>
        <w:t>early-stage sampling to confirm initial assessment, training plan, recognition of prior learning, support needs and planned delivery;</w:t>
      </w:r>
    </w:p>
    <w:p>
      <w:pPr>
        <w:pStyle w:val="ListBullet"/>
      </w:pPr>
      <w:r>
        <w:rPr>
          <w:rFonts w:ascii="Arial" w:hAnsi="Arial"/>
        </w:rPr>
        <w:t>interim sampling of assessment decisions, feedback, progress, evidence authenticity, employer involvement and delivery against the training plan;</w:t>
      </w:r>
    </w:p>
    <w:p>
      <w:pPr>
        <w:pStyle w:val="ListBullet"/>
      </w:pPr>
      <w:r>
        <w:rPr>
          <w:rFonts w:ascii="Arial" w:hAnsi="Arial"/>
        </w:rPr>
        <w:t>summative/gateway sampling to confirm all required learning and assessment is complete and the learner is ready for external assessment or certification.</w:t>
      </w:r>
    </w:p>
    <w:p>
      <w:pPr>
        <w:pStyle w:val="Heading1"/>
      </w:pPr>
      <w:r>
        <w:rPr>
          <w:rFonts w:ascii="Arial" w:hAnsi="Arial"/>
        </w:rPr>
        <w:t>Observations and standardisation</w:t>
      </w:r>
    </w:p>
    <w:p>
      <w:r>
        <w:rPr>
          <w:rFonts w:ascii="Arial" w:hAnsi="Arial"/>
        </w:rPr>
        <w:t>Teaching, coaching and assessment observations will be planned according to risk and staff development need. Standardisation will normally take place monthly for active delivery teams, with additional sessions following new standards, awarding-organisation updates, inconsistent decisions, EQA actions or identified quality risks. Minutes, decisions, examples and actions will be retained.</w:t>
      </w:r>
    </w:p>
    <w:p>
      <w:pPr>
        <w:pStyle w:val="Heading1"/>
      </w:pPr>
      <w:r>
        <w:rPr>
          <w:rFonts w:ascii="Arial" w:hAnsi="Arial"/>
        </w:rPr>
        <w:t>AI and authenticity</w:t>
      </w:r>
    </w:p>
    <w:p>
      <w:r>
        <w:rPr>
          <w:rFonts w:ascii="Arial" w:hAnsi="Arial"/>
        </w:rPr>
        <w:t>IQA activity will test the authenticity of learner evidence and the appropriate use of AI. AI-detection scores alone will not be treated as proof of malpractice. Where authenticity is questioned, assessors and IQAs will triangulate evidence using professional discussion, observation, version history, source checking and the learner’s ability to explain and apply their work.</w:t>
      </w:r>
    </w:p>
    <w:p>
      <w:pPr>
        <w:pStyle w:val="Heading1"/>
      </w:pPr>
      <w:r>
        <w:rPr>
          <w:rFonts w:ascii="Arial" w:hAnsi="Arial"/>
        </w:rPr>
        <w:t>Quality reporting</w:t>
      </w:r>
    </w:p>
    <w:p>
      <w:r>
        <w:rPr>
          <w:rFonts w:ascii="Arial" w:hAnsi="Arial"/>
        </w:rPr>
        <w:t>The Head of Quality will report monthly to the Operations Manager on sampling completion, referrals, overdue actions, assessor risk, observation themes, standardisation, learner progress risks, complaints/malpractice themes and EQA actions. Persistent or serious risks will be escalated promptly to the Managing Director.</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Rewritten for risk-based IQA, current apprenticeship terminology, monthly standardisation, AI authenticity and management reporting.</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