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Arial" w:hAnsi="Arial"/>
        </w:rPr>
        <w:t>Privacy Policy</w:t>
      </w:r>
    </w:p>
    <w:tbl>
      <w:tblPr>
        <w:tblStyle w:val="TableGrid"/>
        <w:tblW w:type="auto" w:w="0"/>
        <w:jc w:val="center"/>
        <w:tblLook w:firstColumn="1" w:firstRow="1" w:lastColumn="0" w:lastRow="0" w:noHBand="0" w:noVBand="1" w:val="04A0"/>
      </w:tblPr>
      <w:tblGrid>
        <w:gridCol w:w="5112"/>
        <w:gridCol w:w="5112"/>
      </w:tblGrid>
      <w:tr>
        <w:trPr>
          <w:tblHeader w:val="true"/>
        </w:trPr>
        <w:tc>
          <w:tcPr>
            <w:tcW w:type="dxa" w:w="5112"/>
            <w:shd w:fill="E7E6E6"/>
          </w:tcPr>
          <w:p>
            <w:r/>
            <w:r>
              <w:rPr>
                <w:rFonts w:ascii="Arial" w:hAnsi="Arial"/>
                <w:b/>
                <w:sz w:val="18"/>
              </w:rPr>
              <w:t>Document reference</w:t>
            </w:r>
          </w:p>
        </w:tc>
        <w:tc>
          <w:tcPr>
            <w:tcW w:type="dxa" w:w="5112"/>
          </w:tcPr>
          <w:p>
            <w:r/>
            <w:r>
              <w:rPr>
                <w:rFonts w:ascii="Arial" w:hAnsi="Arial"/>
                <w:b w:val="0"/>
                <w:sz w:val="18"/>
              </w:rPr>
              <w:t>MIET-161</w:t>
            </w:r>
          </w:p>
        </w:tc>
      </w:tr>
      <w:tr>
        <w:tc>
          <w:tcPr>
            <w:tcW w:type="dxa" w:w="5112"/>
            <w:shd w:fill="E7E6E6"/>
          </w:tcPr>
          <w:p>
            <w:r/>
            <w:r>
              <w:rPr>
                <w:rFonts w:ascii="Arial" w:hAnsi="Arial"/>
                <w:b/>
                <w:sz w:val="18"/>
              </w:rPr>
              <w:t>Version</w:t>
            </w:r>
          </w:p>
        </w:tc>
        <w:tc>
          <w:tcPr>
            <w:tcW w:type="dxa" w:w="5112"/>
          </w:tcPr>
          <w:p>
            <w:r/>
            <w:r>
              <w:rPr>
                <w:rFonts w:ascii="Arial" w:hAnsi="Arial"/>
                <w:b w:val="0"/>
                <w:sz w:val="18"/>
              </w:rPr>
              <w:t>2026 update</w:t>
            </w:r>
          </w:p>
        </w:tc>
      </w:tr>
      <w:tr>
        <w:tc>
          <w:tcPr>
            <w:tcW w:type="dxa" w:w="5112"/>
            <w:shd w:fill="E7E6E6"/>
          </w:tcPr>
          <w:p>
            <w:r/>
            <w:r>
              <w:rPr>
                <w:rFonts w:ascii="Arial" w:hAnsi="Arial"/>
                <w:b/>
                <w:sz w:val="18"/>
              </w:rPr>
              <w:t>Effective date</w:t>
            </w:r>
          </w:p>
        </w:tc>
        <w:tc>
          <w:tcPr>
            <w:tcW w:type="dxa" w:w="5112"/>
          </w:tcPr>
          <w:p>
            <w:r/>
            <w:r>
              <w:rPr>
                <w:rFonts w:ascii="Arial" w:hAnsi="Arial"/>
                <w:b w:val="0"/>
                <w:sz w:val="18"/>
              </w:rPr>
              <w:t>04/09/2026</w:t>
            </w:r>
          </w:p>
        </w:tc>
      </w:tr>
      <w:tr>
        <w:tc>
          <w:tcPr>
            <w:tcW w:type="dxa" w:w="5112"/>
            <w:shd w:fill="E7E6E6"/>
          </w:tcPr>
          <w:p>
            <w:r/>
            <w:r>
              <w:rPr>
                <w:rFonts w:ascii="Arial" w:hAnsi="Arial"/>
                <w:b/>
                <w:sz w:val="18"/>
              </w:rPr>
              <w:t>Review date</w:t>
            </w:r>
          </w:p>
        </w:tc>
        <w:tc>
          <w:tcPr>
            <w:tcW w:type="dxa" w:w="5112"/>
          </w:tcPr>
          <w:p>
            <w:r/>
            <w:r>
              <w:rPr>
                <w:rFonts w:ascii="Arial" w:hAnsi="Arial"/>
                <w:b w:val="0"/>
                <w:sz w:val="18"/>
              </w:rPr>
              <w:t>September 2027</w:t>
            </w:r>
          </w:p>
        </w:tc>
      </w:tr>
      <w:tr>
        <w:tc>
          <w:tcPr>
            <w:tcW w:type="dxa" w:w="5112"/>
            <w:shd w:fill="E7E6E6"/>
          </w:tcPr>
          <w:p>
            <w:r/>
            <w:r>
              <w:rPr>
                <w:rFonts w:ascii="Arial" w:hAnsi="Arial"/>
                <w:b/>
                <w:sz w:val="18"/>
              </w:rPr>
              <w:t>Owner</w:t>
            </w:r>
          </w:p>
        </w:tc>
        <w:tc>
          <w:tcPr>
            <w:tcW w:type="dxa" w:w="5112"/>
          </w:tcPr>
          <w:p>
            <w:r/>
            <w:r>
              <w:rPr>
                <w:rFonts w:ascii="Arial" w:hAnsi="Arial"/>
                <w:b w:val="0"/>
                <w:sz w:val="18"/>
              </w:rPr>
              <w:t>Data Protection Lead / Managing Director</w:t>
            </w:r>
          </w:p>
        </w:tc>
      </w:tr>
    </w:tbl>
    <w:p/>
    <w:p>
      <w:pPr>
        <w:pStyle w:val="Heading1"/>
      </w:pPr>
      <w:r>
        <w:rPr>
          <w:rFonts w:ascii="Arial" w:hAnsi="Arial"/>
        </w:rPr>
        <w:t>Purpose and controller</w:t>
      </w:r>
    </w:p>
    <w:p>
      <w:r>
        <w:rPr>
          <w:rFonts w:ascii="Arial" w:hAnsi="Arial"/>
        </w:rPr>
        <w:t>MI Education &amp; Training Ltd (MI) is the data controller for personal information it determines how and why to process. This notice explains how MI handles information about prospective learners, apprentices, learners, employers, staff, contractors and website users. It should be read alongside any more specific privacy notices provided at the point information is collected.</w:t>
      </w:r>
    </w:p>
    <w:p>
      <w:pPr>
        <w:pStyle w:val="Heading1"/>
      </w:pPr>
      <w:r>
        <w:rPr>
          <w:rFonts w:ascii="Arial" w:hAnsi="Arial"/>
        </w:rPr>
        <w:t>Information we may process</w:t>
      </w:r>
    </w:p>
    <w:p>
      <w:pPr>
        <w:pStyle w:val="ListBullet"/>
      </w:pPr>
      <w:r>
        <w:rPr>
          <w:rFonts w:ascii="Arial" w:hAnsi="Arial"/>
        </w:rPr>
        <w:t>identity, contact, demographic and eligibility information;</w:t>
      </w:r>
    </w:p>
    <w:p>
      <w:pPr>
        <w:pStyle w:val="ListBullet"/>
      </w:pPr>
      <w:r>
        <w:rPr>
          <w:rFonts w:ascii="Arial" w:hAnsi="Arial"/>
        </w:rPr>
        <w:t>employment, apprenticeship, prior-learning, attendance, progress, assessment and achievement records;</w:t>
      </w:r>
    </w:p>
    <w:p>
      <w:pPr>
        <w:pStyle w:val="ListBullet"/>
      </w:pPr>
      <w:r>
        <w:rPr>
          <w:rFonts w:ascii="Arial" w:hAnsi="Arial"/>
        </w:rPr>
        <w:t>English and maths, learning support, reasonable adjustment and disability information where relevant;</w:t>
      </w:r>
    </w:p>
    <w:p>
      <w:pPr>
        <w:pStyle w:val="ListBullet"/>
      </w:pPr>
      <w:r>
        <w:rPr>
          <w:rFonts w:ascii="Arial" w:hAnsi="Arial"/>
        </w:rPr>
        <w:t>safeguarding, Prevent, complaints, disciplinary and incident information where necessary;</w:t>
      </w:r>
    </w:p>
    <w:p>
      <w:pPr>
        <w:pStyle w:val="ListBullet"/>
      </w:pPr>
      <w:r>
        <w:rPr>
          <w:rFonts w:ascii="Arial" w:hAnsi="Arial"/>
        </w:rPr>
        <w:t>funding, payment, employer and audit evidence;</w:t>
      </w:r>
    </w:p>
    <w:p>
      <w:pPr>
        <w:pStyle w:val="ListBullet"/>
      </w:pPr>
      <w:r>
        <w:rPr>
          <w:rFonts w:ascii="Arial" w:hAnsi="Arial"/>
        </w:rPr>
        <w:t>IT, account, website, communication and security records.</w:t>
      </w:r>
    </w:p>
    <w:p>
      <w:pPr>
        <w:pStyle w:val="Heading1"/>
      </w:pPr>
      <w:r>
        <w:rPr>
          <w:rFonts w:ascii="Arial" w:hAnsi="Arial"/>
        </w:rPr>
        <w:t>Lawful bases</w:t>
      </w:r>
    </w:p>
    <w:p>
      <w:r>
        <w:rPr>
          <w:rFonts w:ascii="Arial" w:hAnsi="Arial"/>
        </w:rPr>
        <w:t>MI will identify and document an appropriate lawful basis for each processing purpose. Depending on the activity this may include contract, legal obligation, legitimate interests, public task where applicable, vital interests or consent. Consent will not be described as the basis for all processing and will only be used where individuals have a genuine choice. Special-category and criminal-offence information will only be processed where an additional lawful condition is satisfied.</w:t>
      </w:r>
    </w:p>
    <w:p>
      <w:pPr>
        <w:pStyle w:val="Heading1"/>
      </w:pPr>
      <w:r>
        <w:rPr>
          <w:rFonts w:ascii="Arial" w:hAnsi="Arial"/>
        </w:rPr>
        <w:t>Why information is used</w:t>
      </w:r>
    </w:p>
    <w:p>
      <w:r>
        <w:rPr>
          <w:rFonts w:ascii="Arial" w:hAnsi="Arial"/>
        </w:rPr>
        <w:t>Purposes include assessing eligibility and suitability, delivering and administering apprenticeships and qualifications, supporting learners, meeting safeguarding duties, claiming and evidencing funding, registering learners, arranging assessment and certification, quality assurance, responding to complaints, communicating with employers and complying with legal, contractual, regulatory and audit requirements.</w:t>
      </w:r>
    </w:p>
    <w:p>
      <w:pPr>
        <w:pStyle w:val="Heading1"/>
      </w:pPr>
      <w:r>
        <w:rPr>
          <w:rFonts w:ascii="Arial" w:hAnsi="Arial"/>
        </w:rPr>
        <w:t>Sharing</w:t>
      </w:r>
    </w:p>
    <w:p>
      <w:r>
        <w:rPr>
          <w:rFonts w:ascii="Arial" w:hAnsi="Arial"/>
        </w:rPr>
        <w:t>Where necessary and lawful, MI may share information with employers, the apprenticeship service and relevant government departments or agencies, awarding organisations, EPAOs, Ofsted, Ofqual or other regulators, local authorities, safeguarding partners, professional advisers, IT and learning-platform suppliers and law-enforcement bodies. Data-sharing and processor arrangements will be proportionate and documented.</w:t>
      </w:r>
    </w:p>
    <w:p>
      <w:pPr>
        <w:pStyle w:val="Heading1"/>
      </w:pPr>
      <w:r>
        <w:rPr>
          <w:rFonts w:ascii="Arial" w:hAnsi="Arial"/>
        </w:rPr>
        <w:t>Retention, security and international transfers</w:t>
      </w:r>
    </w:p>
    <w:p>
      <w:r>
        <w:rPr>
          <w:rFonts w:ascii="Arial" w:hAnsi="Arial"/>
        </w:rPr>
        <w:t>MI will keep personal information only for as long as required by the purpose, applicable funding or awarding-organisation rules, contract, law or the need to establish or defend legal claims. Access will be role-based and appropriate technical and organisational security measures will be used. Where personal information is transferred outside the UK, MI will ensure an appropriate UK GDPR transfer mechanism is in place.</w:t>
      </w:r>
    </w:p>
    <w:p>
      <w:pPr>
        <w:pStyle w:val="Heading1"/>
      </w:pPr>
      <w:r>
        <w:rPr>
          <w:rFonts w:ascii="Arial" w:hAnsi="Arial"/>
        </w:rPr>
        <w:t>Individual rights</w:t>
      </w:r>
    </w:p>
    <w:p>
      <w:r>
        <w:rPr>
          <w:rFonts w:ascii="Arial" w:hAnsi="Arial"/>
        </w:rPr>
        <w:t>Individuals may have rights of access, rectification, erasure, restriction, objection, portability and rights relating to automated decision-making, depending on the processing and lawful basis. Requests should be made to MI using the current contact details published by the organisation. Individuals also have the right to complain to the Information Commissioner’s Office.</w:t>
      </w:r>
    </w:p>
    <w:p>
      <w:pPr>
        <w:pStyle w:val="Heading1"/>
      </w:pPr>
      <w:r>
        <w:rPr>
          <w:rFonts w:ascii="Arial" w:hAnsi="Arial"/>
        </w:rPr>
        <w:t>Personal data breaches</w:t>
      </w:r>
    </w:p>
    <w:p>
      <w:r>
        <w:rPr>
          <w:rFonts w:ascii="Arial" w:hAnsi="Arial"/>
        </w:rPr>
        <w:t>Suspected personal data breaches must be reported internally without delay. MI will assess risk, contain the incident, keep the required record and notify the ICO and affected individuals where the statutory thresholds are met.</w:t>
      </w:r>
    </w:p>
    <w:p>
      <w:pPr>
        <w:pStyle w:val="Heading1"/>
      </w:pPr>
      <w:r>
        <w:rPr>
          <w:rFonts w:ascii="Arial" w:hAnsi="Arial"/>
        </w:rPr>
        <w:t>Monitoring and review</w:t>
      </w:r>
    </w:p>
    <w:p>
      <w:r>
        <w:rPr>
          <w:rFonts w:ascii="Arial" w:hAnsi="Arial"/>
        </w:rPr>
        <w:t>The policy owner will monitor implementation through the quality cycle, management information, audit activity, learner and employer feedback, complaints, incidents and awarding organisation or funding assurance activity. This document will be reviewed at least annually and earlier where legislation, funding rules, statutory guidance, awarding organisation requirements or organisational arrangements change.</w:t>
      </w:r>
    </w:p>
    <w:p>
      <w:pPr>
        <w:pStyle w:val="Heading1"/>
      </w:pPr>
      <w:r>
        <w:rPr>
          <w:rFonts w:ascii="Arial" w:hAnsi="Arial"/>
        </w:rPr>
        <w:t>Version history</w:t>
      </w:r>
    </w:p>
    <w:tbl>
      <w:tblPr>
        <w:tblStyle w:val="TableGrid"/>
        <w:tblW w:type="auto" w:w="0"/>
        <w:jc w:val="center"/>
        <w:tblLook w:firstColumn="1" w:firstRow="1" w:lastColumn="0" w:lastRow="0" w:noHBand="0" w:noVBand="1" w:val="04A0"/>
      </w:tblPr>
      <w:tblGrid>
        <w:gridCol w:w="3408"/>
        <w:gridCol w:w="3408"/>
        <w:gridCol w:w="3408"/>
      </w:tblGrid>
      <w:tr>
        <w:trPr>
          <w:tblHeader w:val="true"/>
        </w:trPr>
        <w:tc>
          <w:tcPr>
            <w:tcW w:type="dxa" w:w="3408"/>
            <w:shd w:fill="D9EAD3"/>
          </w:tcPr>
          <w:p>
            <w:r/>
            <w:r>
              <w:rPr>
                <w:rFonts w:ascii="Arial" w:hAnsi="Arial"/>
                <w:b/>
                <w:sz w:val="18"/>
              </w:rPr>
              <w:t>Version</w:t>
            </w:r>
          </w:p>
        </w:tc>
        <w:tc>
          <w:tcPr>
            <w:tcW w:type="dxa" w:w="3408"/>
            <w:shd w:fill="D9EAD3"/>
          </w:tcPr>
          <w:p>
            <w:r/>
            <w:r>
              <w:rPr>
                <w:rFonts w:ascii="Arial" w:hAnsi="Arial"/>
                <w:b/>
                <w:sz w:val="18"/>
              </w:rPr>
              <w:t>Date</w:t>
            </w:r>
          </w:p>
        </w:tc>
        <w:tc>
          <w:tcPr>
            <w:tcW w:type="dxa" w:w="3408"/>
            <w:shd w:fill="D9EAD3"/>
          </w:tcPr>
          <w:p>
            <w:r/>
            <w:r>
              <w:rPr>
                <w:rFonts w:ascii="Arial" w:hAnsi="Arial"/>
                <w:b/>
                <w:sz w:val="18"/>
              </w:rPr>
              <w:t>Change summary</w:t>
            </w:r>
          </w:p>
        </w:tc>
      </w:tr>
      <w:tr>
        <w:tc>
          <w:tcPr>
            <w:tcW w:type="dxa" w:w="3408"/>
          </w:tcPr>
          <w:p>
            <w:r/>
            <w:r>
              <w:rPr>
                <w:rFonts w:ascii="Arial" w:hAnsi="Arial"/>
                <w:b w:val="0"/>
                <w:sz w:val="18"/>
              </w:rPr>
              <w:t>2026 update</w:t>
            </w:r>
          </w:p>
        </w:tc>
        <w:tc>
          <w:tcPr>
            <w:tcW w:type="dxa" w:w="3408"/>
          </w:tcPr>
          <w:p>
            <w:r/>
            <w:r>
              <w:rPr>
                <w:rFonts w:ascii="Arial" w:hAnsi="Arial"/>
                <w:b w:val="0"/>
                <w:sz w:val="18"/>
              </w:rPr>
              <w:t>04/09/2026</w:t>
            </w:r>
          </w:p>
        </w:tc>
        <w:tc>
          <w:tcPr>
            <w:tcW w:type="dxa" w:w="3408"/>
          </w:tcPr>
          <w:p>
            <w:r/>
            <w:r>
              <w:rPr>
                <w:rFonts w:ascii="Arial" w:hAnsi="Arial"/>
                <w:b w:val="0"/>
                <w:sz w:val="18"/>
              </w:rPr>
              <w:t>Rewritten as a UK GDPR/Data Protection Act 2018 privacy framework with lawful bases, rights, retention, sharing and breach management.</w:t>
            </w:r>
          </w:p>
        </w:tc>
      </w:tr>
    </w:tbl>
    <w:sectPr w:rsidR="00FC693F" w:rsidRPr="0006063C" w:rsidSect="00034616">
      <w:footerReference w:type="default" r:id="rId9"/>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MI Education &amp; Training Ltd | Controlled document | Review due September 2027</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