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jc w:val="center"/>
      </w:pPr>
      <w:r>
        <w:rPr>
          <w:rFonts w:ascii="Arial" w:hAnsi="Arial"/>
        </w:rPr>
        <w:t>Reasonable Adjustment and Special Consideration Policy</w:t>
      </w:r>
    </w:p>
    <w:tbl>
      <w:tblPr>
        <w:tblStyle w:val="TableGrid"/>
        <w:tblW w:type="auto" w:w="0"/>
        <w:jc w:val="center"/>
        <w:tblLook w:firstColumn="1" w:firstRow="1" w:lastColumn="0" w:lastRow="0" w:noHBand="0" w:noVBand="1" w:val="04A0"/>
      </w:tblPr>
      <w:tblGrid>
        <w:gridCol w:w="5112"/>
        <w:gridCol w:w="5112"/>
      </w:tblGrid>
      <w:tr>
        <w:trPr>
          <w:tblHeader w:val="true"/>
        </w:trPr>
        <w:tc>
          <w:tcPr>
            <w:tcW w:type="dxa" w:w="5112"/>
            <w:shd w:fill="E7E6E6"/>
          </w:tcPr>
          <w:p>
            <w:r/>
            <w:r>
              <w:rPr>
                <w:rFonts w:ascii="Arial" w:hAnsi="Arial"/>
                <w:b/>
                <w:sz w:val="18"/>
              </w:rPr>
              <w:t>Document reference</w:t>
            </w:r>
          </w:p>
        </w:tc>
        <w:tc>
          <w:tcPr>
            <w:tcW w:type="dxa" w:w="5112"/>
          </w:tcPr>
          <w:p>
            <w:r/>
            <w:r>
              <w:rPr>
                <w:rFonts w:ascii="Arial" w:hAnsi="Arial"/>
                <w:b w:val="0"/>
                <w:sz w:val="18"/>
              </w:rPr>
              <w:t>MIET-155</w:t>
            </w:r>
          </w:p>
        </w:tc>
      </w:tr>
      <w:tr>
        <w:tc>
          <w:tcPr>
            <w:tcW w:type="dxa" w:w="5112"/>
            <w:shd w:fill="E7E6E6"/>
          </w:tcPr>
          <w:p>
            <w:r/>
            <w:r>
              <w:rPr>
                <w:rFonts w:ascii="Arial" w:hAnsi="Arial"/>
                <w:b/>
                <w:sz w:val="18"/>
              </w:rPr>
              <w:t>Version</w:t>
            </w:r>
          </w:p>
        </w:tc>
        <w:tc>
          <w:tcPr>
            <w:tcW w:type="dxa" w:w="5112"/>
          </w:tcPr>
          <w:p>
            <w:r/>
            <w:r>
              <w:rPr>
                <w:rFonts w:ascii="Arial" w:hAnsi="Arial"/>
                <w:b w:val="0"/>
                <w:sz w:val="18"/>
              </w:rPr>
              <w:t>2026 update</w:t>
            </w:r>
          </w:p>
        </w:tc>
      </w:tr>
      <w:tr>
        <w:tc>
          <w:tcPr>
            <w:tcW w:type="dxa" w:w="5112"/>
            <w:shd w:fill="E7E6E6"/>
          </w:tcPr>
          <w:p>
            <w:r/>
            <w:r>
              <w:rPr>
                <w:rFonts w:ascii="Arial" w:hAnsi="Arial"/>
                <w:b/>
                <w:sz w:val="18"/>
              </w:rPr>
              <w:t>Effective date</w:t>
            </w:r>
          </w:p>
        </w:tc>
        <w:tc>
          <w:tcPr>
            <w:tcW w:type="dxa" w:w="5112"/>
          </w:tcPr>
          <w:p>
            <w:r/>
            <w:r>
              <w:rPr>
                <w:rFonts w:ascii="Arial" w:hAnsi="Arial"/>
                <w:b w:val="0"/>
                <w:sz w:val="18"/>
              </w:rPr>
              <w:t>04/09/2026</w:t>
            </w:r>
          </w:p>
        </w:tc>
      </w:tr>
      <w:tr>
        <w:tc>
          <w:tcPr>
            <w:tcW w:type="dxa" w:w="5112"/>
            <w:shd w:fill="E7E6E6"/>
          </w:tcPr>
          <w:p>
            <w:r/>
            <w:r>
              <w:rPr>
                <w:rFonts w:ascii="Arial" w:hAnsi="Arial"/>
                <w:b/>
                <w:sz w:val="18"/>
              </w:rPr>
              <w:t>Review date</w:t>
            </w:r>
          </w:p>
        </w:tc>
        <w:tc>
          <w:tcPr>
            <w:tcW w:type="dxa" w:w="5112"/>
          </w:tcPr>
          <w:p>
            <w:r/>
            <w:r>
              <w:rPr>
                <w:rFonts w:ascii="Arial" w:hAnsi="Arial"/>
                <w:b w:val="0"/>
                <w:sz w:val="18"/>
              </w:rPr>
              <w:t>September 2027</w:t>
            </w:r>
          </w:p>
        </w:tc>
      </w:tr>
      <w:tr>
        <w:tc>
          <w:tcPr>
            <w:tcW w:type="dxa" w:w="5112"/>
            <w:shd w:fill="E7E6E6"/>
          </w:tcPr>
          <w:p>
            <w:r/>
            <w:r>
              <w:rPr>
                <w:rFonts w:ascii="Arial" w:hAnsi="Arial"/>
                <w:b/>
                <w:sz w:val="18"/>
              </w:rPr>
              <w:t>Owner</w:t>
            </w:r>
          </w:p>
        </w:tc>
        <w:tc>
          <w:tcPr>
            <w:tcW w:type="dxa" w:w="5112"/>
          </w:tcPr>
          <w:p>
            <w:r/>
            <w:r>
              <w:rPr>
                <w:rFonts w:ascii="Arial" w:hAnsi="Arial"/>
                <w:b w:val="0"/>
                <w:sz w:val="18"/>
              </w:rPr>
              <w:t>Head of Quality</w:t>
            </w:r>
          </w:p>
        </w:tc>
      </w:tr>
    </w:tbl>
    <w:p/>
    <w:p>
      <w:pPr>
        <w:pStyle w:val="Heading1"/>
      </w:pPr>
      <w:r>
        <w:rPr>
          <w:rFonts w:ascii="Arial" w:hAnsi="Arial"/>
        </w:rPr>
        <w:t>Policy statement</w:t>
      </w:r>
    </w:p>
    <w:p>
      <w:r>
        <w:rPr>
          <w:rFonts w:ascii="Arial" w:hAnsi="Arial"/>
        </w:rPr>
        <w:t>MI will provide fair access to learning and assessment while protecting the validity, reliability and integrity of qualifications and apprenticeship assessment. Decisions will comply with the Equality Act 2010 and the current requirements of the relevant awarding organisation (AO) and end-point assessment organisation (EPAO).</w:t>
      </w:r>
    </w:p>
    <w:p>
      <w:pPr>
        <w:pStyle w:val="Heading1"/>
      </w:pPr>
      <w:r>
        <w:rPr>
          <w:rFonts w:ascii="Arial" w:hAnsi="Arial"/>
        </w:rPr>
        <w:t>Definitions</w:t>
      </w:r>
    </w:p>
    <w:p>
      <w:r>
        <w:rPr>
          <w:rFonts w:ascii="Arial" w:hAnsi="Arial"/>
        </w:rPr>
        <w:t>A reasonable adjustment is an arrangement made before learning or assessment to reduce a substantial disadvantage arising from disability or another eligible difficulty without changing the competence standard being assessed. Special consideration is a post-assessment or exceptional arrangement considered where temporary illness, injury or another event outside the learner’s control has materially affected the learner’s ability to take an assessment or demonstrate attainment.</w:t>
      </w:r>
    </w:p>
    <w:p>
      <w:pPr>
        <w:pStyle w:val="Heading1"/>
      </w:pPr>
      <w:r>
        <w:rPr>
          <w:rFonts w:ascii="Arial" w:hAnsi="Arial"/>
        </w:rPr>
        <w:t>Principles</w:t>
      </w:r>
    </w:p>
    <w:p>
      <w:pPr>
        <w:pStyle w:val="ListBullet"/>
      </w:pPr>
      <w:r>
        <w:rPr>
          <w:rFonts w:ascii="Arial" w:hAnsi="Arial"/>
        </w:rPr>
        <w:t>Adjustments must reflect the learner’s individual needs and normal way of working where relevant.</w:t>
      </w:r>
    </w:p>
    <w:p>
      <w:pPr>
        <w:pStyle w:val="ListBullet"/>
      </w:pPr>
      <w:r>
        <w:rPr>
          <w:rFonts w:ascii="Arial" w:hAnsi="Arial"/>
        </w:rPr>
        <w:t>They must not give an unfair advantage, invalidate assessment requirements, alter a competence standard or mislead users of the qualification.</w:t>
      </w:r>
    </w:p>
    <w:p>
      <w:pPr>
        <w:pStyle w:val="ListBullet"/>
      </w:pPr>
      <w:r>
        <w:rPr>
          <w:rFonts w:ascii="Arial" w:hAnsi="Arial"/>
        </w:rPr>
        <w:t>AO/EPAO rules take precedence for regulated assessment. MI will obtain approval in advance where the AO/EPAO requires it.</w:t>
      </w:r>
    </w:p>
    <w:p>
      <w:pPr>
        <w:pStyle w:val="ListBullet"/>
      </w:pPr>
      <w:r>
        <w:rPr>
          <w:rFonts w:ascii="Arial" w:hAnsi="Arial"/>
        </w:rPr>
        <w:t>Evidence supporting the need, decision, implementation and review must be retained securely.</w:t>
      </w:r>
    </w:p>
    <w:p>
      <w:pPr>
        <w:pStyle w:val="ListBullet"/>
      </w:pPr>
      <w:r>
        <w:rPr>
          <w:rFonts w:ascii="Arial" w:hAnsi="Arial"/>
        </w:rPr>
        <w:t>Decisions must be timely, consistent, proportionate and communicated to the learner, including any right of appeal.</w:t>
      </w:r>
    </w:p>
    <w:p>
      <w:pPr>
        <w:pStyle w:val="Heading1"/>
      </w:pPr>
      <w:r>
        <w:rPr>
          <w:rFonts w:ascii="Arial" w:hAnsi="Arial"/>
        </w:rPr>
        <w:t>Examples</w:t>
      </w:r>
    </w:p>
    <w:p>
      <w:r>
        <w:rPr>
          <w:rFonts w:ascii="Arial" w:hAnsi="Arial"/>
        </w:rPr>
        <w:t>Depending on the assessment rules, arrangements may include accessible materials, assistive technology, supervised rest breaks, extra time, a reader, scribe, British Sign Language interpreter, adapted room or an alternative permitted assessment method. No fixed adjustment, including 25% extra time, will be treated as an automatic entitlement: the current AO/EPAO requirements and evidence of need must be checked.</w:t>
      </w:r>
    </w:p>
    <w:p>
      <w:pPr>
        <w:pStyle w:val="Heading1"/>
      </w:pPr>
      <w:r>
        <w:rPr>
          <w:rFonts w:ascii="Arial" w:hAnsi="Arial"/>
        </w:rPr>
        <w:t>Apprenticeships</w:t>
      </w:r>
    </w:p>
    <w:p>
      <w:r>
        <w:rPr>
          <w:rFonts w:ascii="Arial" w:hAnsi="Arial"/>
        </w:rPr>
        <w:t>Reasonable adjustments for on-programme learning must be recorded in the training plan and reviewed. Where learning support funding is claimed, MI will retain the assessment of need, agreed support, evidence of delivery and evidence of actual cost required by the current apprenticeship funding rules. Adjustments for end-point or other external assessment must be agreed with the relevant EPAO/AO.</w:t>
      </w:r>
    </w:p>
    <w:p>
      <w:pPr>
        <w:pStyle w:val="Heading1"/>
      </w:pPr>
      <w:r>
        <w:rPr>
          <w:rFonts w:ascii="Arial" w:hAnsi="Arial"/>
        </w:rPr>
        <w:t>Appeals</w:t>
      </w:r>
    </w:p>
    <w:p>
      <w:r>
        <w:rPr>
          <w:rFonts w:ascii="Arial" w:hAnsi="Arial"/>
        </w:rPr>
        <w:t>A learner who disagrees with a decision may use MI’s appeals procedure. Where the decision is made by an AO or EPAO, the relevant external appeals process will apply.</w:t>
      </w:r>
    </w:p>
    <w:p>
      <w:pPr>
        <w:pStyle w:val="Heading1"/>
      </w:pPr>
      <w:r>
        <w:rPr>
          <w:rFonts w:ascii="Arial" w:hAnsi="Arial"/>
        </w:rPr>
        <w:t>Monitoring and review</w:t>
      </w:r>
    </w:p>
    <w:p>
      <w:r>
        <w:rPr>
          <w:rFonts w:ascii="Arial" w:hAnsi="Arial"/>
        </w:rPr>
        <w:t>The policy owner will monitor implementation through the quality cycle, management information, audit activity, learner and employer feedback, complaints, incidents and awarding organisation or funding assurance activity. This document will be reviewed at least annually and earlier where legislation, funding rules, statutory guidance, awarding organisation requirements or organisational arrangements change.</w:t>
      </w:r>
    </w:p>
    <w:p>
      <w:pPr>
        <w:pStyle w:val="Heading1"/>
      </w:pPr>
      <w:r>
        <w:rPr>
          <w:rFonts w:ascii="Arial" w:hAnsi="Arial"/>
        </w:rPr>
        <w:t>Version history</w:t>
      </w:r>
    </w:p>
    <w:tbl>
      <w:tblPr>
        <w:tblStyle w:val="TableGrid"/>
        <w:tblW w:type="auto" w:w="0"/>
        <w:jc w:val="center"/>
        <w:tblLook w:firstColumn="1" w:firstRow="1" w:lastColumn="0" w:lastRow="0" w:noHBand="0" w:noVBand="1" w:val="04A0"/>
      </w:tblPr>
      <w:tblGrid>
        <w:gridCol w:w="3408"/>
        <w:gridCol w:w="3408"/>
        <w:gridCol w:w="3408"/>
      </w:tblGrid>
      <w:tr>
        <w:trPr>
          <w:tblHeader w:val="true"/>
        </w:trPr>
        <w:tc>
          <w:tcPr>
            <w:tcW w:type="dxa" w:w="3408"/>
            <w:shd w:fill="D9EAD3"/>
          </w:tcPr>
          <w:p>
            <w:r/>
            <w:r>
              <w:rPr>
                <w:rFonts w:ascii="Arial" w:hAnsi="Arial"/>
                <w:b/>
                <w:sz w:val="18"/>
              </w:rPr>
              <w:t>Version</w:t>
            </w:r>
          </w:p>
        </w:tc>
        <w:tc>
          <w:tcPr>
            <w:tcW w:type="dxa" w:w="3408"/>
            <w:shd w:fill="D9EAD3"/>
          </w:tcPr>
          <w:p>
            <w:r/>
            <w:r>
              <w:rPr>
                <w:rFonts w:ascii="Arial" w:hAnsi="Arial"/>
                <w:b/>
                <w:sz w:val="18"/>
              </w:rPr>
              <w:t>Date</w:t>
            </w:r>
          </w:p>
        </w:tc>
        <w:tc>
          <w:tcPr>
            <w:tcW w:type="dxa" w:w="3408"/>
            <w:shd w:fill="D9EAD3"/>
          </w:tcPr>
          <w:p>
            <w:r/>
            <w:r>
              <w:rPr>
                <w:rFonts w:ascii="Arial" w:hAnsi="Arial"/>
                <w:b/>
                <w:sz w:val="18"/>
              </w:rPr>
              <w:t>Change summary</w:t>
            </w:r>
          </w:p>
        </w:tc>
      </w:tr>
      <w:tr>
        <w:tc>
          <w:tcPr>
            <w:tcW w:type="dxa" w:w="3408"/>
          </w:tcPr>
          <w:p>
            <w:r/>
            <w:r>
              <w:rPr>
                <w:rFonts w:ascii="Arial" w:hAnsi="Arial"/>
                <w:b w:val="0"/>
                <w:sz w:val="18"/>
              </w:rPr>
              <w:t>2026 update</w:t>
            </w:r>
          </w:p>
        </w:tc>
        <w:tc>
          <w:tcPr>
            <w:tcW w:type="dxa" w:w="3408"/>
          </w:tcPr>
          <w:p>
            <w:r/>
            <w:r>
              <w:rPr>
                <w:rFonts w:ascii="Arial" w:hAnsi="Arial"/>
                <w:b w:val="0"/>
                <w:sz w:val="18"/>
              </w:rPr>
              <w:t>04/09/2026</w:t>
            </w:r>
          </w:p>
        </w:tc>
        <w:tc>
          <w:tcPr>
            <w:tcW w:type="dxa" w:w="3408"/>
          </w:tcPr>
          <w:p>
            <w:r/>
            <w:r>
              <w:rPr>
                <w:rFonts w:ascii="Arial" w:hAnsi="Arial"/>
                <w:b w:val="0"/>
                <w:sz w:val="18"/>
              </w:rPr>
              <w:t>Updated to remove automatic access-arrangement assumptions and align with current Ofqual, AO/EPAO and apprenticeship learning-support requirements.</w:t>
            </w:r>
          </w:p>
        </w:tc>
      </w:tr>
    </w:tbl>
    <w:sectPr w:rsidR="00FC693F" w:rsidRPr="0006063C" w:rsidSect="00034616">
      <w:footerReference w:type="default" r:id="rId9"/>
      <w:pgSz w:w="12240" w:h="15840"/>
      <w:pgMar w:top="936" w:right="1008" w:bottom="936"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t>MI Education &amp; Training Ltd | Controlled document | Review due September 2027</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Arial" w:hAnsi="Arial"/>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rial" w:hAnsi="Arial"/>
      <w:b/>
      <w:bCs/>
      <w:color w:val="4F81BD" w:themeColor="accent1"/>
      <w:sz w:val="22"/>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rial" w:hAnsi="Arial"/>
      <w:b/>
      <w:color w:val="17365D" w:themeColor="text2" w:themeShade="BF"/>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