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Whistleblowing Policy and Procedure</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MIET-152</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Managing Director / Head of Quality</w:t>
            </w:r>
          </w:p>
        </w:tc>
      </w:tr>
    </w:tbl>
    <w:p/>
    <w:p>
      <w:pPr>
        <w:pStyle w:val="Heading1"/>
      </w:pPr>
      <w:r>
        <w:rPr>
          <w:rFonts w:ascii="Arial" w:hAnsi="Arial"/>
        </w:rPr>
        <w:t>Purpose</w:t>
      </w:r>
    </w:p>
    <w:p>
      <w:r>
        <w:rPr>
          <w:rFonts w:ascii="Arial" w:hAnsi="Arial"/>
        </w:rPr>
        <w:t>MI is committed to a culture in which workers can raise genuine concerns about wrongdoing in the public interest without fear of dismissal, detriment or victimisation. This policy is separate from the grievance and complaints procedures, which normally deal with personal employment concerns or learner complaints.</w:t>
      </w:r>
    </w:p>
    <w:p>
      <w:pPr>
        <w:pStyle w:val="Heading1"/>
      </w:pPr>
      <w:r>
        <w:rPr>
          <w:rFonts w:ascii="Arial" w:hAnsi="Arial"/>
        </w:rPr>
        <w:t>Who can use this policy</w:t>
      </w:r>
    </w:p>
    <w:p>
      <w:r>
        <w:rPr>
          <w:rFonts w:ascii="Arial" w:hAnsi="Arial"/>
        </w:rPr>
        <w:t>The procedure is available to employees and workers, including apprentices employed by MI, agency workers, contractors and relevant subcontractor personnel. Learners who are not workers should normally use the complaints or safeguarding procedure, although information they provide may trigger a whistleblowing investigation.</w:t>
      </w:r>
    </w:p>
    <w:p>
      <w:pPr>
        <w:pStyle w:val="Heading1"/>
      </w:pPr>
      <w:r>
        <w:rPr>
          <w:rFonts w:ascii="Arial" w:hAnsi="Arial"/>
        </w:rPr>
        <w:t>Concerns covered</w:t>
      </w:r>
    </w:p>
    <w:p>
      <w:pPr>
        <w:pStyle w:val="ListBullet"/>
      </w:pPr>
      <w:r>
        <w:rPr>
          <w:rFonts w:ascii="Arial" w:hAnsi="Arial"/>
        </w:rPr>
        <w:t>criminal offences, fraud, bribery, theft or financial irregularity;</w:t>
      </w:r>
    </w:p>
    <w:p>
      <w:pPr>
        <w:pStyle w:val="ListBullet"/>
      </w:pPr>
      <w:r>
        <w:rPr>
          <w:rFonts w:ascii="Arial" w:hAnsi="Arial"/>
        </w:rPr>
        <w:t>failure to comply with a legal or regulatory obligation, including apprenticeship funding, data, awarding organisation or assessment requirements;</w:t>
      </w:r>
    </w:p>
    <w:p>
      <w:pPr>
        <w:pStyle w:val="ListBullet"/>
      </w:pPr>
      <w:r>
        <w:rPr>
          <w:rFonts w:ascii="Arial" w:hAnsi="Arial"/>
        </w:rPr>
        <w:t>miscarriages of justice;</w:t>
      </w:r>
    </w:p>
    <w:p>
      <w:pPr>
        <w:pStyle w:val="ListBullet"/>
      </w:pPr>
      <w:r>
        <w:rPr>
          <w:rFonts w:ascii="Arial" w:hAnsi="Arial"/>
        </w:rPr>
        <w:t>danger to health and safety;</w:t>
      </w:r>
    </w:p>
    <w:p>
      <w:pPr>
        <w:pStyle w:val="ListBullet"/>
      </w:pPr>
      <w:r>
        <w:rPr>
          <w:rFonts w:ascii="Arial" w:hAnsi="Arial"/>
        </w:rPr>
        <w:t>environmental damage;</w:t>
      </w:r>
    </w:p>
    <w:p>
      <w:pPr>
        <w:pStyle w:val="ListBullet"/>
      </w:pPr>
      <w:r>
        <w:rPr>
          <w:rFonts w:ascii="Arial" w:hAnsi="Arial"/>
        </w:rPr>
        <w:t>safeguarding failures, abuse, exploitation, radicalisation or serious failures to protect learners;</w:t>
      </w:r>
    </w:p>
    <w:p>
      <w:pPr>
        <w:pStyle w:val="ListBullet"/>
      </w:pPr>
      <w:r>
        <w:rPr>
          <w:rFonts w:ascii="Arial" w:hAnsi="Arial"/>
        </w:rPr>
        <w:t>deliberate concealment of any of the above.</w:t>
      </w:r>
    </w:p>
    <w:p>
      <w:pPr>
        <w:pStyle w:val="Heading1"/>
      </w:pPr>
      <w:r>
        <w:rPr>
          <w:rFonts w:ascii="Arial" w:hAnsi="Arial"/>
        </w:rPr>
        <w:t>How to raise a concern</w:t>
      </w:r>
    </w:p>
    <w:p>
      <w:r>
        <w:rPr>
          <w:rFonts w:ascii="Arial" w:hAnsi="Arial"/>
        </w:rPr>
        <w:t>Concerns should normally be raised promptly with the line manager, Head of Quality or Managing Director. If the concern involves one of those individuals, it should be raised with another senior manager or director who is independent of the matter. Concerns may be verbal or written and should set out the facts, dates, people involved and any supporting evidence. Anonymous concerns will be considered, although anonymity can limit the investigation and feedback that can be provided.</w:t>
      </w:r>
    </w:p>
    <w:p>
      <w:pPr>
        <w:pStyle w:val="Heading1"/>
      </w:pPr>
      <w:r>
        <w:rPr>
          <w:rFonts w:ascii="Arial" w:hAnsi="Arial"/>
        </w:rPr>
        <w:t>Investigation and confidentiality</w:t>
      </w:r>
    </w:p>
    <w:p>
      <w:r>
        <w:rPr>
          <w:rFonts w:ascii="Arial" w:hAnsi="Arial"/>
        </w:rPr>
        <w:t>MI will acknowledge the concern, assess whether this procedure is appropriate, appoint an impartial investigator where required, protect evidence and keep records. The whistleblower’s identity will be kept confidential as far as reasonably possible, but absolute confidentiality cannot be guaranteed where disclosure is legally required or necessary for a fair investigation. The person raising the concern will be told the outcome to the extent that confidentiality and legal restrictions permit.</w:t>
      </w:r>
    </w:p>
    <w:p>
      <w:pPr>
        <w:pStyle w:val="Heading1"/>
      </w:pPr>
      <w:r>
        <w:rPr>
          <w:rFonts w:ascii="Arial" w:hAnsi="Arial"/>
        </w:rPr>
        <w:t>Protection and external disclosure</w:t>
      </w:r>
    </w:p>
    <w:p>
      <w:r>
        <w:rPr>
          <w:rFonts w:ascii="Arial" w:hAnsi="Arial"/>
        </w:rPr>
        <w:t>A worker who makes a qualifying protected disclosure in accordance with the Employment Rights Act 1996 is protected from dismissal and detriment. MI will not tolerate retaliation. Knowingly false allegations made maliciously may be addressed under disciplinary procedures, but a concern raised in good faith that is not substantiated will not itself result in action. Workers may seek independent advice and may make a disclosure to an appropriate prescribed person or other body where the statutory conditions are met.</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Updated whistleblowing routes, public-interest protection, apprenticeship/regulatory examples and investigation safeguards.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