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Malpractice and Maladministration Policy and Procedure</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MIET-101</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Purpose and scope</w:t>
      </w:r>
    </w:p>
    <w:p>
      <w:r>
        <w:rPr>
          <w:rFonts w:ascii="Arial" w:hAnsi="Arial"/>
        </w:rPr>
        <w:t>MI will prevent, identify, investigate, report and address malpractice and maladministration affecting apprenticeships, qualifications, assessment, certification, funding or quality assurance. This applies to learners, staff, assessors, IQAs, administrators, invigilators, contractors, employers, subcontractors and other partners.</w:t>
      </w:r>
    </w:p>
    <w:p>
      <w:pPr>
        <w:pStyle w:val="Heading1"/>
      </w:pPr>
      <w:r>
        <w:rPr>
          <w:rFonts w:ascii="Arial" w:hAnsi="Arial"/>
        </w:rPr>
        <w:t>Definitions</w:t>
      </w:r>
    </w:p>
    <w:p>
      <w:r>
        <w:rPr>
          <w:rFonts w:ascii="Arial" w:hAnsi="Arial"/>
        </w:rPr>
        <w:t>Malpractice is deliberate or reckless conduct that compromises or attempts to compromise the integrity, validity, security or reliability of training, assessment, qualifications, funding or records. Maladministration is non-compliance, poor administration, neglect or error that causes or risks such compromise, whether deliberate or not.</w:t>
      </w:r>
    </w:p>
    <w:p>
      <w:pPr>
        <w:pStyle w:val="Heading1"/>
      </w:pPr>
      <w:r>
        <w:rPr>
          <w:rFonts w:ascii="Arial" w:hAnsi="Arial"/>
        </w:rPr>
        <w:t>Examples</w:t>
      </w:r>
    </w:p>
    <w:p>
      <w:pPr>
        <w:pStyle w:val="ListBullet"/>
      </w:pPr>
      <w:r>
        <w:rPr>
          <w:rFonts w:ascii="Arial" w:hAnsi="Arial"/>
        </w:rPr>
        <w:t>plagiarism, collusion, unauthorised AI use, impersonation or fabricated evidence;</w:t>
      </w:r>
    </w:p>
    <w:p>
      <w:pPr>
        <w:pStyle w:val="ListBullet"/>
      </w:pPr>
      <w:r>
        <w:rPr>
          <w:rFonts w:ascii="Arial" w:hAnsi="Arial"/>
        </w:rPr>
        <w:t>false or misleading learner, attendance, progress, training, prior-learning, funding or employer records;</w:t>
      </w:r>
    </w:p>
    <w:p>
      <w:pPr>
        <w:pStyle w:val="ListBullet"/>
      </w:pPr>
      <w:r>
        <w:rPr>
          <w:rFonts w:ascii="Arial" w:hAnsi="Arial"/>
        </w:rPr>
        <w:t>assessment or IQA decisions made without sufficient evidence or required competence;</w:t>
      </w:r>
    </w:p>
    <w:p>
      <w:pPr>
        <w:pStyle w:val="ListBullet"/>
      </w:pPr>
      <w:r>
        <w:rPr>
          <w:rFonts w:ascii="Arial" w:hAnsi="Arial"/>
        </w:rPr>
        <w:t>breaches of controlled-assessment security or unauthorised assistance;</w:t>
      </w:r>
    </w:p>
    <w:p>
      <w:pPr>
        <w:pStyle w:val="ListBullet"/>
      </w:pPr>
      <w:r>
        <w:rPr>
          <w:rFonts w:ascii="Arial" w:hAnsi="Arial"/>
        </w:rPr>
        <w:t>late/incorrect registration or certification, poor record keeping or failure to follow AO/EPAO rules;</w:t>
      </w:r>
    </w:p>
    <w:p>
      <w:pPr>
        <w:pStyle w:val="ListBullet"/>
      </w:pPr>
      <w:r>
        <w:rPr>
          <w:rFonts w:ascii="Arial" w:hAnsi="Arial"/>
        </w:rPr>
        <w:t>concealment of errors, conflicts of interest, bribery, fraud or improper pressure on staff or learners.</w:t>
      </w:r>
    </w:p>
    <w:p>
      <w:pPr>
        <w:pStyle w:val="Heading1"/>
      </w:pPr>
      <w:r>
        <w:rPr>
          <w:rFonts w:ascii="Arial" w:hAnsi="Arial"/>
        </w:rPr>
        <w:t>Reporting</w:t>
      </w:r>
    </w:p>
    <w:p>
      <w:r>
        <w:rPr>
          <w:rFonts w:ascii="Arial" w:hAnsi="Arial"/>
        </w:rPr>
        <w:t>Concerns must be reported promptly to the Head of Quality or Managing Director. Evidence must be preserved and confidentiality maintained. Where the allegation concerns the Head of Quality, it must be escalated to the Managing Director or another independent senior person. Whistleblowing protections may apply to workers raising concerns in the public interest.</w:t>
      </w:r>
    </w:p>
    <w:p>
      <w:pPr>
        <w:pStyle w:val="Heading1"/>
      </w:pPr>
      <w:r>
        <w:rPr>
          <w:rFonts w:ascii="Arial" w:hAnsi="Arial"/>
        </w:rPr>
        <w:t>Investigation</w:t>
      </w:r>
    </w:p>
    <w:p>
      <w:r>
        <w:rPr>
          <w:rFonts w:ascii="Arial" w:hAnsi="Arial"/>
        </w:rPr>
        <w:t>MI will triage the allegation, manage conflicts of interest, protect assessment/funding evidence, notify relevant external bodies where required, give affected individuals a fair opportunity to respond, make findings on the available evidence and record the rationale. Serious cases may require suspension of assessment, certification, system access or delivery while facts are established.</w:t>
      </w:r>
    </w:p>
    <w:p>
      <w:pPr>
        <w:pStyle w:val="Heading1"/>
      </w:pPr>
      <w:r>
        <w:rPr>
          <w:rFonts w:ascii="Arial" w:hAnsi="Arial"/>
        </w:rPr>
        <w:t>External notification and outcomes</w:t>
      </w:r>
    </w:p>
    <w:p>
      <w:r>
        <w:rPr>
          <w:rFonts w:ascii="Arial" w:hAnsi="Arial"/>
        </w:rPr>
        <w:t>MI will notify the relevant AO/EPAO, government funding body, regulator or other authority where required by contract, conditions of recognition, funding rules or law. Outcomes may include corrective action, additional IQA, reassessment where permitted, staff development, disciplinary action, withdrawal, repayment/correction of funding, invalidation of results or referral to another authority.</w:t>
      </w:r>
    </w:p>
    <w:p>
      <w:pPr>
        <w:pStyle w:val="Heading1"/>
      </w:pPr>
      <w:r>
        <w:rPr>
          <w:rFonts w:ascii="Arial" w:hAnsi="Arial"/>
        </w:rPr>
        <w:t>AI</w:t>
      </w:r>
    </w:p>
    <w:p>
      <w:r>
        <w:rPr>
          <w:rFonts w:ascii="Arial" w:hAnsi="Arial"/>
        </w:rPr>
        <w:t>AI-detection tools are not conclusive evidence. AI-related malpractice investigations will use multiple sources of evidence and the learner or staff member will be given an opportunity to explain the work or process.</w:t>
      </w:r>
    </w:p>
    <w:p>
      <w:pPr>
        <w:pStyle w:val="Heading1"/>
      </w:pPr>
      <w:r>
        <w:rPr>
          <w:rFonts w:ascii="Arial" w:hAnsi="Arial"/>
        </w:rPr>
        <w:t>Appeal</w:t>
      </w:r>
    </w:p>
    <w:p>
      <w:r>
        <w:rPr>
          <w:rFonts w:ascii="Arial" w:hAnsi="Arial"/>
        </w:rPr>
        <w:t>A person affected by an MI decision may appeal in accordance with the applicable appeals procedure. Decisions made by an AO/EPAO or regulator are subject to that organisation’s appeal arrangements.</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Updated for apprenticeship funding evidence, EPAOs, AI-related malpractice, fair investigation and external notification.</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